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535" w:rsidRDefault="00EA1C22" w:rsidP="00143535">
      <w:pPr>
        <w:spacing w:after="0" w:line="240" w:lineRule="auto"/>
        <w:ind w:left="6804"/>
        <w:rPr>
          <w:rFonts w:ascii="Times New Roman" w:eastAsia="Times New Roman" w:hAnsi="Times New Roman" w:cs="Times New Roman"/>
          <w:bCs/>
          <w:sz w:val="24"/>
          <w:szCs w:val="20"/>
          <w:lang w:eastAsia="pl-PL"/>
        </w:rPr>
      </w:pPr>
      <w:bookmarkStart w:id="0" w:name="_GoBack"/>
      <w:bookmarkEnd w:id="0"/>
      <w:r w:rsidRPr="00EA1C22">
        <w:rPr>
          <w:rFonts w:ascii="Times New Roman" w:eastAsia="Times New Roman" w:hAnsi="Times New Roman" w:cs="Times New Roman"/>
          <w:bCs/>
          <w:sz w:val="24"/>
          <w:szCs w:val="20"/>
          <w:lang w:eastAsia="pl-PL"/>
        </w:rPr>
        <w:t xml:space="preserve">Załącznik </w:t>
      </w:r>
    </w:p>
    <w:p w:rsidR="00143535" w:rsidRDefault="00EA1C22" w:rsidP="00143535">
      <w:pPr>
        <w:spacing w:after="0" w:line="240" w:lineRule="auto"/>
        <w:ind w:left="6804"/>
        <w:rPr>
          <w:rFonts w:ascii="Times New Roman" w:eastAsia="Times New Roman" w:hAnsi="Times New Roman" w:cs="Times New Roman"/>
          <w:bCs/>
          <w:sz w:val="24"/>
          <w:szCs w:val="20"/>
          <w:lang w:eastAsia="pl-PL"/>
        </w:rPr>
      </w:pPr>
      <w:r w:rsidRPr="00EA1C22">
        <w:rPr>
          <w:rFonts w:ascii="Times New Roman" w:eastAsia="Times New Roman" w:hAnsi="Times New Roman" w:cs="Times New Roman"/>
          <w:bCs/>
          <w:sz w:val="24"/>
          <w:szCs w:val="20"/>
          <w:lang w:eastAsia="pl-PL"/>
        </w:rPr>
        <w:t xml:space="preserve">do ustawy </w:t>
      </w:r>
    </w:p>
    <w:p w:rsidR="00EA1C22" w:rsidRPr="00EA1C22" w:rsidRDefault="00143535" w:rsidP="00143535">
      <w:pPr>
        <w:spacing w:after="0" w:line="240" w:lineRule="auto"/>
        <w:ind w:left="6804"/>
        <w:rPr>
          <w:rFonts w:ascii="Times New Roman" w:eastAsia="Times New Roman" w:hAnsi="Times New Roman" w:cs="Times New Roman"/>
          <w:bCs/>
          <w:sz w:val="24"/>
          <w:szCs w:val="20"/>
          <w:lang w:eastAsia="pl-PL"/>
        </w:rPr>
      </w:pPr>
      <w:r>
        <w:rPr>
          <w:rFonts w:ascii="Times New Roman" w:eastAsia="Times New Roman" w:hAnsi="Times New Roman" w:cs="Times New Roman"/>
          <w:bCs/>
          <w:sz w:val="24"/>
          <w:szCs w:val="20"/>
          <w:lang w:eastAsia="pl-PL"/>
        </w:rPr>
        <w:t>z dnia</w:t>
      </w:r>
    </w:p>
    <w:p w:rsidR="00EA1C22" w:rsidRPr="00EA1C22" w:rsidRDefault="00EA1C22" w:rsidP="00EA1C22">
      <w:pPr>
        <w:spacing w:beforeLines="60" w:before="144" w:afterLines="60" w:after="144" w:line="240" w:lineRule="auto"/>
        <w:jc w:val="center"/>
        <w:rPr>
          <w:rFonts w:ascii="Times New Roman" w:eastAsia="Times New Roman" w:hAnsi="Times New Roman" w:cs="Times New Roman"/>
          <w:caps/>
          <w:sz w:val="20"/>
          <w:szCs w:val="20"/>
          <w:lang w:eastAsia="pl-PL"/>
        </w:rPr>
      </w:pPr>
      <w:r w:rsidRPr="00EA1C22">
        <w:rPr>
          <w:rFonts w:ascii="Times New Roman" w:eastAsia="Times New Roman" w:hAnsi="Times New Roman" w:cs="Times New Roman"/>
          <w:caps/>
          <w:sz w:val="20"/>
          <w:szCs w:val="20"/>
          <w:lang w:eastAsia="pl-PL"/>
        </w:rPr>
        <w:t>WZÓR</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 xml:space="preserve">Stan na dzień sporządzenia prospektu informacyjnego </w:t>
      </w:r>
    </w:p>
    <w:p w:rsidR="00EA1C22" w:rsidRPr="00EA1C22" w:rsidRDefault="00EA1C22" w:rsidP="00920895">
      <w:pPr>
        <w:widowControl w:val="0"/>
        <w:autoSpaceDE w:val="0"/>
        <w:autoSpaceDN w:val="0"/>
        <w:adjustRightInd w:val="0"/>
        <w:spacing w:after="0" w:line="360" w:lineRule="auto"/>
        <w:ind w:left="6379"/>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w:t>
      </w:r>
    </w:p>
    <w:p w:rsidR="00EA1C22" w:rsidRPr="00EA1C22" w:rsidRDefault="00EA1C22" w:rsidP="00920895">
      <w:pPr>
        <w:widowControl w:val="0"/>
        <w:autoSpaceDE w:val="0"/>
        <w:autoSpaceDN w:val="0"/>
        <w:adjustRightInd w:val="0"/>
        <w:spacing w:after="0" w:line="360" w:lineRule="auto"/>
        <w:ind w:left="6379"/>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sporządzenia</w:t>
      </w:r>
    </w:p>
    <w:p w:rsidR="00EA1C22" w:rsidRPr="00EA1C22" w:rsidRDefault="00EA1C22" w:rsidP="00920895">
      <w:pPr>
        <w:widowControl w:val="0"/>
        <w:autoSpaceDE w:val="0"/>
        <w:autoSpaceDN w:val="0"/>
        <w:adjustRightInd w:val="0"/>
        <w:spacing w:after="0" w:line="360" w:lineRule="auto"/>
        <w:ind w:left="6379"/>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prospektu</w:t>
      </w:r>
    </w:p>
    <w:p w:rsidR="00EA1C22" w:rsidRPr="00EA1C22" w:rsidRDefault="00EA1C22" w:rsidP="00EA1C22">
      <w:pPr>
        <w:spacing w:before="60" w:after="60" w:line="240" w:lineRule="auto"/>
        <w:jc w:val="center"/>
        <w:outlineLvl w:val="0"/>
        <w:rPr>
          <w:rFonts w:ascii="Times New Roman" w:eastAsia="Calibri" w:hAnsi="Times New Roman" w:cs="Times New Roman"/>
          <w:b/>
          <w:sz w:val="20"/>
          <w:szCs w:val="20"/>
        </w:rPr>
      </w:pPr>
    </w:p>
    <w:p w:rsidR="00EA1C22" w:rsidRPr="00EA1C22" w:rsidRDefault="00EA1C22" w:rsidP="00EA1C22">
      <w:pPr>
        <w:spacing w:beforeLines="60" w:before="144" w:afterLines="60" w:after="144" w:line="240" w:lineRule="auto"/>
        <w:jc w:val="center"/>
        <w:outlineLvl w:val="0"/>
        <w:rPr>
          <w:rFonts w:ascii="Times New Roman" w:eastAsia="Calibri" w:hAnsi="Times New Roman" w:cs="Times New Roman"/>
          <w:b/>
          <w:sz w:val="20"/>
          <w:szCs w:val="20"/>
        </w:rPr>
      </w:pPr>
      <w:r w:rsidRPr="00EA1C22">
        <w:rPr>
          <w:rFonts w:ascii="Times New Roman" w:eastAsia="Calibri" w:hAnsi="Times New Roman" w:cs="Times New Roman"/>
          <w:b/>
          <w:sz w:val="20"/>
          <w:szCs w:val="20"/>
        </w:rPr>
        <w:t xml:space="preserve">PROSPEKT INFORMACYJNY </w:t>
      </w:r>
    </w:p>
    <w:p w:rsidR="00EA1C22" w:rsidRPr="00EA1C22" w:rsidRDefault="00EA1C22" w:rsidP="00EA1C22">
      <w:pPr>
        <w:spacing w:before="60" w:after="60" w:line="240" w:lineRule="auto"/>
        <w:jc w:val="center"/>
        <w:outlineLvl w:val="0"/>
        <w:rPr>
          <w:rFonts w:ascii="Times New Roman" w:eastAsia="Calibri" w:hAnsi="Times New Roman" w:cs="Times New Roman"/>
          <w:b/>
          <w:sz w:val="20"/>
          <w:szCs w:val="20"/>
        </w:rPr>
      </w:pPr>
    </w:p>
    <w:p w:rsidR="00EA1C22" w:rsidRPr="00EA1C22" w:rsidRDefault="00EA1C22" w:rsidP="00EA1C22">
      <w:pPr>
        <w:spacing w:beforeLines="60" w:before="144" w:afterLines="60" w:after="144" w:line="240" w:lineRule="auto"/>
        <w:outlineLvl w:val="0"/>
        <w:rPr>
          <w:rFonts w:ascii="Times New Roman" w:eastAsia="Calibri" w:hAnsi="Times New Roman" w:cs="Times New Roman"/>
          <w:b/>
          <w:sz w:val="20"/>
          <w:szCs w:val="20"/>
        </w:rPr>
      </w:pPr>
      <w:r w:rsidRPr="00EA1C22">
        <w:rPr>
          <w:rFonts w:ascii="Times New Roman" w:eastAsia="Calibri" w:hAnsi="Times New Roman" w:cs="Times New Roman"/>
          <w:b/>
          <w:sz w:val="20"/>
          <w:szCs w:val="20"/>
        </w:rPr>
        <w:t>CZĘŚĆ OGÓLNA</w:t>
      </w:r>
    </w:p>
    <w:p w:rsidR="00EA1C22" w:rsidRPr="00EA1C22" w:rsidRDefault="00EA1C22" w:rsidP="00920895">
      <w:pPr>
        <w:spacing w:after="0" w:line="240" w:lineRule="auto"/>
        <w:outlineLvl w:val="0"/>
        <w:rPr>
          <w:rFonts w:ascii="Times New Roman" w:eastAsia="Calibri" w:hAnsi="Times New Roman" w:cs="Times New Roman"/>
          <w:b/>
          <w:sz w:val="20"/>
          <w:szCs w:val="20"/>
        </w:rPr>
      </w:pPr>
    </w:p>
    <w:p w:rsidR="00EA1C22" w:rsidRPr="00EA1C22" w:rsidRDefault="00EA1C22" w:rsidP="00920895">
      <w:pPr>
        <w:widowControl w:val="0"/>
        <w:numPr>
          <w:ilvl w:val="0"/>
          <w:numId w:val="1"/>
        </w:numPr>
        <w:autoSpaceDE w:val="0"/>
        <w:autoSpaceDN w:val="0"/>
        <w:adjustRightInd w:val="0"/>
        <w:spacing w:after="100" w:afterAutospacing="1" w:line="240" w:lineRule="auto"/>
        <w:ind w:left="1077"/>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DANE IDENTYFIKACYJNE I KONTAKTOWE DOTYCZĄCE DEWELOPERA</w:t>
      </w:r>
    </w:p>
    <w:tbl>
      <w:tblPr>
        <w:tblpPr w:leftFromText="141" w:rightFromText="141" w:vertAnchor="text" w:horzAnchor="margin" w:tblpY="5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240"/>
        <w:gridCol w:w="3420"/>
      </w:tblGrid>
      <w:tr w:rsidR="00EA1C22" w:rsidRPr="00EA1C22" w:rsidTr="002568E5">
        <w:tc>
          <w:tcPr>
            <w:tcW w:w="9648" w:type="dxa"/>
            <w:gridSpan w:val="3"/>
            <w:tcBorders>
              <w:bottom w:val="single" w:sz="4" w:space="0" w:color="auto"/>
            </w:tcBorders>
            <w:shd w:val="clear" w:color="auto" w:fill="E0E0E0"/>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DANE DEWELOPERA</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p>
        </w:tc>
      </w:tr>
      <w:tr w:rsidR="00EA1C22" w:rsidRPr="00EA1C22" w:rsidTr="002568E5">
        <w:trPr>
          <w:trHeight w:val="375"/>
        </w:trPr>
        <w:tc>
          <w:tcPr>
            <w:tcW w:w="2988"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Deweloper</w:t>
            </w:r>
          </w:p>
        </w:tc>
        <w:tc>
          <w:tcPr>
            <w:tcW w:w="6660" w:type="dxa"/>
            <w:gridSpan w:val="2"/>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br/>
              <w:t>Dane identyfikacyjne (firma, forma prawna, numer Krajowego Rejestru Sądowego lub numer wpisu do Centralnej Ewidencji i Działalności Gospodarczej)</w:t>
            </w:r>
          </w:p>
        </w:tc>
      </w:tr>
      <w:tr w:rsidR="00EA1C22" w:rsidRPr="00EA1C22" w:rsidTr="002568E5">
        <w:trPr>
          <w:trHeight w:val="1327"/>
        </w:trPr>
        <w:tc>
          <w:tcPr>
            <w:tcW w:w="2988"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660" w:type="dxa"/>
            <w:gridSpan w:val="2"/>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miejsca wykonywania działalności gospodarczej, adres siedziby i adres punktów, w których jest przedstawiana oferta lokali mieszkalnych albo domów jednorodzinnych</w:t>
            </w:r>
          </w:p>
        </w:tc>
      </w:tr>
      <w:tr w:rsidR="00EA1C22" w:rsidRPr="00EA1C22" w:rsidTr="002568E5">
        <w:trPr>
          <w:trHeight w:val="188"/>
        </w:trPr>
        <w:tc>
          <w:tcPr>
            <w:tcW w:w="2988"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NIP REGON</w:t>
            </w:r>
          </w:p>
        </w:tc>
        <w:tc>
          <w:tcPr>
            <w:tcW w:w="3240"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NIP, o ile został nadany</w:t>
            </w:r>
          </w:p>
        </w:tc>
        <w:tc>
          <w:tcPr>
            <w:tcW w:w="3420"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REGON, o ile taki posiada</w:t>
            </w:r>
          </w:p>
        </w:tc>
      </w:tr>
      <w:tr w:rsidR="00EA1C22" w:rsidRPr="00EA1C22" w:rsidTr="002568E5">
        <w:tc>
          <w:tcPr>
            <w:tcW w:w="2988"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telefonu</w:t>
            </w:r>
          </w:p>
        </w:tc>
        <w:tc>
          <w:tcPr>
            <w:tcW w:w="6660" w:type="dxa"/>
            <w:gridSpan w:val="2"/>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72"/>
        </w:trPr>
        <w:tc>
          <w:tcPr>
            <w:tcW w:w="2988"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poczty elektronicznej</w:t>
            </w:r>
          </w:p>
        </w:tc>
        <w:tc>
          <w:tcPr>
            <w:tcW w:w="6660" w:type="dxa"/>
            <w:gridSpan w:val="2"/>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988"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faksu</w:t>
            </w:r>
          </w:p>
        </w:tc>
        <w:tc>
          <w:tcPr>
            <w:tcW w:w="6660" w:type="dxa"/>
            <w:gridSpan w:val="2"/>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18"/>
        </w:trPr>
        <w:tc>
          <w:tcPr>
            <w:tcW w:w="2988"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strony internetowej dewelopera</w:t>
            </w:r>
          </w:p>
        </w:tc>
        <w:tc>
          <w:tcPr>
            <w:tcW w:w="6660"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bl>
    <w:p w:rsidR="00EA1C22" w:rsidRPr="00EA1C22" w:rsidRDefault="00EA1C22" w:rsidP="00921952">
      <w:pPr>
        <w:widowControl w:val="0"/>
        <w:numPr>
          <w:ilvl w:val="0"/>
          <w:numId w:val="1"/>
        </w:numPr>
        <w:autoSpaceDE w:val="0"/>
        <w:autoSpaceDN w:val="0"/>
        <w:adjustRightInd w:val="0"/>
        <w:spacing w:before="240" w:after="100" w:afterAutospacing="1" w:line="240" w:lineRule="auto"/>
        <w:ind w:left="1077"/>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DOŚWIADCZENIE DEWELOPERA</w:t>
      </w:r>
    </w:p>
    <w:tbl>
      <w:tblPr>
        <w:tblpPr w:leftFromText="141" w:rightFromText="141" w:vertAnchor="text" w:horzAnchor="margin" w:tblpY="5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EA1C22" w:rsidRPr="00EA1C22" w:rsidTr="002568E5">
        <w:trPr>
          <w:trHeight w:val="704"/>
        </w:trPr>
        <w:tc>
          <w:tcPr>
            <w:tcW w:w="9648" w:type="dxa"/>
            <w:tcBorders>
              <w:bottom w:val="single" w:sz="4" w:space="0" w:color="auto"/>
            </w:tcBorders>
            <w:shd w:val="clear" w:color="auto" w:fill="E0E0E0"/>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HISTORIA I UDOKUMENTOWANE</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DOŚWIADCZENIE DEWELOPERA</w:t>
            </w:r>
          </w:p>
        </w:tc>
      </w:tr>
    </w:tbl>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3"/>
        <w:gridCol w:w="6835"/>
      </w:tblGrid>
      <w:tr w:rsidR="00EA1C22" w:rsidRPr="00EA1C22" w:rsidTr="002568E5">
        <w:tc>
          <w:tcPr>
            <w:tcW w:w="9648" w:type="dxa"/>
            <w:gridSpan w:val="2"/>
            <w:tcBorders>
              <w:bottom w:val="single" w:sz="4" w:space="0" w:color="auto"/>
            </w:tcBorders>
            <w:shd w:val="clear" w:color="auto" w:fill="E0E0E0"/>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UKOŃCZONEGO PRZEDSIĘWZIĘCIA DEWELOPERSKIEGO (należy wskazać, o ile istnieją, trzy ukończone przedsięwzięcia deweloperskie, w</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tym</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ostatnie)</w:t>
            </w:r>
          </w:p>
        </w:tc>
      </w:tr>
      <w:tr w:rsidR="00EA1C22" w:rsidRPr="00EA1C22" w:rsidTr="002568E5">
        <w:trPr>
          <w:trHeight w:val="135"/>
        </w:trPr>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 xml:space="preserve">Adres </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wydania decyzji o pozwoleniu na użytkowanie</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9648" w:type="dxa"/>
            <w:gridSpan w:val="2"/>
            <w:tcBorders>
              <w:bottom w:val="single" w:sz="4" w:space="0" w:color="auto"/>
            </w:tcBorders>
            <w:shd w:val="clear" w:color="auto" w:fill="E0E0E0"/>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INNEGO UKOŃCZONEGO PRZEDSIĘWZIĘCIA DEWELOPERSKIEGO</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tc>
      </w:tr>
      <w:tr w:rsidR="00EA1C22" w:rsidRPr="00EA1C22" w:rsidTr="002568E5">
        <w:trPr>
          <w:trHeight w:val="135"/>
        </w:trPr>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wydania decyzji o pozwoleniu na użytkowanie</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9648" w:type="dxa"/>
            <w:gridSpan w:val="2"/>
            <w:tcBorders>
              <w:bottom w:val="single" w:sz="4" w:space="0" w:color="auto"/>
            </w:tcBorders>
            <w:shd w:val="clear" w:color="auto" w:fill="E0E0E0"/>
          </w:tcPr>
          <w:p w:rsidR="00EA1C22" w:rsidRPr="00EA1C22" w:rsidRDefault="00EA1C22" w:rsidP="00EA1C22">
            <w:pPr>
              <w:spacing w:before="100" w:beforeAutospacing="1" w:after="100" w:afterAutospacing="1"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OSTATNIEGO UKOŃCZONEGO PRZEDSIĘWZIĘCIA DEWELOPERSKIEGO</w:t>
            </w:r>
          </w:p>
          <w:p w:rsidR="00EA1C22" w:rsidRPr="00EA1C22" w:rsidRDefault="00EA1C22" w:rsidP="00EA1C22">
            <w:pPr>
              <w:spacing w:before="100" w:beforeAutospacing="1" w:after="100" w:afterAutospacing="1" w:line="240" w:lineRule="auto"/>
              <w:jc w:val="both"/>
              <w:rPr>
                <w:rFonts w:ascii="Times New Roman" w:eastAsia="Times New Roman" w:hAnsi="Times New Roman" w:cs="Times New Roman"/>
                <w:b/>
                <w:sz w:val="20"/>
                <w:szCs w:val="20"/>
              </w:rPr>
            </w:pPr>
          </w:p>
        </w:tc>
      </w:tr>
      <w:tr w:rsidR="00EA1C22" w:rsidRPr="00EA1C22" w:rsidTr="002568E5">
        <w:trPr>
          <w:trHeight w:val="135"/>
        </w:trPr>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3"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wydania decyzji o pozwoleniu na użytkowanie</w:t>
            </w:r>
          </w:p>
        </w:tc>
        <w:tc>
          <w:tcPr>
            <w:tcW w:w="6835"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bl>
    <w:p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16"/>
          <w:szCs w:val="2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840"/>
      </w:tblGrid>
      <w:tr w:rsidR="00EA1C22" w:rsidRPr="00EA1C22" w:rsidTr="002568E5">
        <w:tc>
          <w:tcPr>
            <w:tcW w:w="2808"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sz w:val="20"/>
                <w:szCs w:val="20"/>
              </w:rPr>
              <w:t>Czy przeciwko deweloperowi prowadzono lub prowadzi się postępowania egzekucyjne na kwotę powyżej 100 000 zł</w:t>
            </w:r>
          </w:p>
        </w:tc>
        <w:tc>
          <w:tcPr>
            <w:tcW w:w="6840"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tc>
      </w:tr>
    </w:tbl>
    <w:p w:rsidR="00EA1C22" w:rsidRPr="00EA1C22" w:rsidRDefault="00EA1C22" w:rsidP="00921952">
      <w:pPr>
        <w:spacing w:beforeLines="60" w:before="144" w:after="0" w:line="240" w:lineRule="auto"/>
        <w:jc w:val="both"/>
        <w:rPr>
          <w:rFonts w:ascii="Times New Roman" w:eastAsia="Times New Roman" w:hAnsi="Times New Roman" w:cs="Times New Roman"/>
          <w:b/>
          <w:bCs/>
          <w:sz w:val="16"/>
          <w:szCs w:val="20"/>
        </w:rPr>
      </w:pPr>
    </w:p>
    <w:p w:rsidR="00EA1C22" w:rsidRPr="00EA1C22" w:rsidRDefault="00EA1C22" w:rsidP="00921952">
      <w:pPr>
        <w:widowControl w:val="0"/>
        <w:numPr>
          <w:ilvl w:val="0"/>
          <w:numId w:val="2"/>
        </w:numPr>
        <w:autoSpaceDE w:val="0"/>
        <w:autoSpaceDN w:val="0"/>
        <w:adjustRightInd w:val="0"/>
        <w:spacing w:before="100" w:beforeAutospacing="1" w:after="120" w:line="240" w:lineRule="auto"/>
        <w:ind w:left="1077"/>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INFORMACJE DOTYCZĄCE NIERUCHOMOŚCI I PRZEDSIĘWZIĘCIA DEWELOPERSKIEGO</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0"/>
        <w:gridCol w:w="3419"/>
        <w:gridCol w:w="3419"/>
      </w:tblGrid>
      <w:tr w:rsidR="00EA1C22" w:rsidRPr="00EA1C22" w:rsidTr="002568E5">
        <w:tc>
          <w:tcPr>
            <w:tcW w:w="9648" w:type="dxa"/>
            <w:gridSpan w:val="3"/>
            <w:tcBorders>
              <w:bottom w:val="single" w:sz="4" w:space="0" w:color="auto"/>
            </w:tcBorders>
            <w:shd w:val="clear" w:color="auto" w:fill="E0E0E0"/>
          </w:tcPr>
          <w:p w:rsidR="00EA1C22" w:rsidRPr="00EA1C22" w:rsidRDefault="00EA1C22" w:rsidP="00EA1C22">
            <w:pPr>
              <w:spacing w:beforeLines="60" w:before="144" w:afterLines="60" w:after="144" w:line="240" w:lineRule="auto"/>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INFORMACJE DOTYCZĄCE GRUNTU I ZAGOSPODAROWANIA PRZESTRZENNEGO TERENU</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tc>
      </w:tr>
      <w:tr w:rsidR="00EA1C22" w:rsidRPr="00EA1C22" w:rsidTr="002568E5">
        <w:trPr>
          <w:trHeight w:val="135"/>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i numer działki ewidencyjnej i obrębu</w:t>
            </w:r>
            <w:r w:rsidRPr="00EA1C22">
              <w:rPr>
                <w:rFonts w:ascii="Times New Roman" w:eastAsia="Times New Roman" w:hAnsi="Times New Roman" w:cs="Times New Roman"/>
                <w:sz w:val="20"/>
                <w:szCs w:val="20"/>
                <w:vertAlign w:val="superscript"/>
              </w:rPr>
              <w:footnoteReference w:customMarkFollows="1" w:id="1"/>
              <w:t>1)</w:t>
            </w:r>
          </w:p>
        </w:tc>
        <w:tc>
          <w:tcPr>
            <w:tcW w:w="6838" w:type="dxa"/>
            <w:gridSpan w:val="2"/>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98"/>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Numer księgi wieczystej </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98"/>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Istniejące obciążenia hipoteczne nieruchomości lub wnioski o wpis w dziale czwartym księgi wieczystej</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97"/>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W przypadku braku księgi wieczystej informacja o powierzchni działki i stanie prawnym nieruchomości</w:t>
            </w:r>
            <w:r w:rsidRPr="00EA1C22">
              <w:rPr>
                <w:rFonts w:ascii="Times New Roman" w:eastAsia="Times New Roman" w:hAnsi="Times New Roman" w:cs="Times New Roman"/>
                <w:sz w:val="20"/>
                <w:szCs w:val="20"/>
                <w:vertAlign w:val="superscript"/>
              </w:rPr>
              <w:footnoteReference w:customMarkFollows="1" w:id="2"/>
              <w:t>2)</w:t>
            </w:r>
            <w:r w:rsidRPr="00EA1C22">
              <w:rPr>
                <w:rFonts w:ascii="Times New Roman" w:eastAsia="Times New Roman" w:hAnsi="Times New Roman" w:cs="Times New Roman"/>
                <w:sz w:val="20"/>
                <w:szCs w:val="20"/>
              </w:rPr>
              <w:t xml:space="preserve"> </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97"/>
        </w:trPr>
        <w:tc>
          <w:tcPr>
            <w:tcW w:w="2810" w:type="dxa"/>
            <w:shd w:val="clear" w:color="auto" w:fill="F3F3F3"/>
          </w:tcPr>
          <w:p w:rsidR="00EA1C22" w:rsidRPr="00EA1C22" w:rsidRDefault="00EA1C22" w:rsidP="00EA1C22">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Informacje dotyczące obiektów istniejących położonych w sąsiedztwie inwestycji i wpływających na warunki życia</w:t>
            </w:r>
            <w:r w:rsidRPr="00EA1C22">
              <w:rPr>
                <w:rFonts w:ascii="Times New Roman" w:eastAsia="Times New Roman" w:hAnsi="Times New Roman" w:cs="Times New Roman"/>
                <w:sz w:val="20"/>
                <w:szCs w:val="20"/>
                <w:vertAlign w:val="superscript"/>
              </w:rPr>
              <w:footnoteReference w:customMarkFollows="1" w:id="3"/>
              <w:t>3)</w:t>
            </w:r>
            <w:r w:rsidRPr="00EA1C22">
              <w:rPr>
                <w:rFonts w:ascii="Times New Roman" w:eastAsia="Times New Roman" w:hAnsi="Times New Roman" w:cs="Times New Roman"/>
                <w:sz w:val="20"/>
                <w:szCs w:val="20"/>
              </w:rPr>
              <w:t xml:space="preserve"> </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Uwarunkowania lokalizacji inwestycji wynikających z przepisów odrębnych oraz z istniejącego stanu użytkowania terenów sąsiednich (np. z funkcji terenu, stref ochronnych, uciążliwości)</w:t>
            </w:r>
          </w:p>
        </w:tc>
      </w:tr>
      <w:tr w:rsidR="00EA1C22" w:rsidRPr="00EA1C22" w:rsidTr="002568E5">
        <w:trPr>
          <w:trHeight w:val="320"/>
        </w:trPr>
        <w:tc>
          <w:tcPr>
            <w:tcW w:w="2810" w:type="dxa"/>
            <w:vMerge w:val="restart"/>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Akty planowania przestrzennego i inne akty prawne na podstawie przepisów odrębnych na terenie objętym przedsięwzięciem deweloperskim lub zadaniem inwestycyjnym</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 xml:space="preserve"> </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Ramowe studium uwarunkowań i kierunków zagospodarowania przestrzennego związku metropolitalnego</w:t>
            </w:r>
          </w:p>
        </w:tc>
        <w:tc>
          <w:tcPr>
            <w:tcW w:w="3419" w:type="dxa"/>
            <w:vMerge w:val="restart"/>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 xml:space="preserve">Numer i data aktu normatywnego, nazwa organu oraz miejsce publikacji; w przypadku studium </w:t>
            </w:r>
            <w:r w:rsidR="00920895">
              <w:rPr>
                <w:rFonts w:ascii="Times New Roman" w:eastAsia="Times New Roman" w:hAnsi="Times New Roman" w:cs="Times New Roman"/>
                <w:sz w:val="20"/>
                <w:szCs w:val="20"/>
                <w:lang w:eastAsia="pl-PL"/>
              </w:rPr>
              <w:t>–</w:t>
            </w:r>
            <w:r w:rsidRPr="00EA1C22">
              <w:rPr>
                <w:rFonts w:ascii="Times New Roman" w:eastAsia="Times New Roman" w:hAnsi="Times New Roman" w:cs="Times New Roman"/>
                <w:sz w:val="20"/>
                <w:szCs w:val="20"/>
                <w:lang w:eastAsia="pl-PL"/>
              </w:rPr>
              <w:t xml:space="preserve"> link do</w:t>
            </w:r>
            <w:r w:rsidR="00920895">
              <w:rPr>
                <w:rFonts w:ascii="Times New Roman" w:eastAsia="Times New Roman" w:hAnsi="Times New Roman" w:cs="Times New Roman"/>
                <w:sz w:val="20"/>
                <w:szCs w:val="20"/>
                <w:lang w:eastAsia="pl-PL"/>
              </w:rPr>
              <w:t xml:space="preserve"> </w:t>
            </w:r>
            <w:r w:rsidRPr="00EA1C22">
              <w:rPr>
                <w:rFonts w:ascii="Times New Roman" w:eastAsia="Times New Roman" w:hAnsi="Times New Roman" w:cs="Times New Roman"/>
                <w:sz w:val="20"/>
                <w:szCs w:val="20"/>
                <w:lang w:eastAsia="pl-PL"/>
              </w:rPr>
              <w:t>strony internetowej, na której jest zamieszczone, geoportal</w:t>
            </w:r>
          </w:p>
        </w:tc>
      </w:tr>
      <w:tr w:rsidR="00EA1C22" w:rsidRPr="00EA1C22" w:rsidTr="002568E5">
        <w:trPr>
          <w:trHeight w:val="317"/>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Studium uwarunkowań i kierunków zagospodarowania przestrzennego gminy</w:t>
            </w:r>
          </w:p>
        </w:tc>
        <w:tc>
          <w:tcPr>
            <w:tcW w:w="3419" w:type="dxa"/>
            <w:vMerge/>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317"/>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Miejscowy plan zagospodarowania przestrzennego</w:t>
            </w:r>
          </w:p>
        </w:tc>
        <w:tc>
          <w:tcPr>
            <w:tcW w:w="3419" w:type="dxa"/>
            <w:vMerge/>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317"/>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Miejscowy plan rewitalizacji</w:t>
            </w:r>
          </w:p>
        </w:tc>
        <w:tc>
          <w:tcPr>
            <w:tcW w:w="3419" w:type="dxa"/>
            <w:vMerge/>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317"/>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 xml:space="preserve">Miejscowy plan odbudowy </w:t>
            </w:r>
          </w:p>
        </w:tc>
        <w:tc>
          <w:tcPr>
            <w:tcW w:w="3419" w:type="dxa"/>
            <w:vMerge/>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317"/>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Inne</w:t>
            </w:r>
            <w:r w:rsidRPr="00EA1C22">
              <w:rPr>
                <w:rFonts w:ascii="Times New Roman" w:eastAsia="Times New Roman" w:hAnsi="Times New Roman" w:cs="Times New Roman"/>
                <w:sz w:val="20"/>
                <w:szCs w:val="20"/>
                <w:vertAlign w:val="superscript"/>
                <w:lang w:eastAsia="pl-PL"/>
              </w:rPr>
              <w:footnoteReference w:customMarkFollows="1" w:id="4"/>
              <w:t>4)</w:t>
            </w:r>
            <w:r w:rsidRPr="00EA1C22">
              <w:rPr>
                <w:rFonts w:ascii="Times New Roman" w:eastAsia="Times New Roman" w:hAnsi="Times New Roman" w:cs="Times New Roman"/>
                <w:sz w:val="20"/>
                <w:szCs w:val="20"/>
                <w:lang w:eastAsia="pl-PL"/>
              </w:rPr>
              <w:t xml:space="preserve"> </w:t>
            </w:r>
          </w:p>
        </w:tc>
        <w:tc>
          <w:tcPr>
            <w:tcW w:w="3419" w:type="dxa"/>
            <w:vMerge/>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60"/>
        </w:trPr>
        <w:tc>
          <w:tcPr>
            <w:tcW w:w="2810" w:type="dxa"/>
            <w:vMerge w:val="restart"/>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obowiązującego miejscowego planu zagospodarowania przestrzennego dla terenu objętego przedsięwzięciem deweloperskim lub zadaniem inwestycyjnym</w:t>
            </w:r>
            <w:r w:rsidRPr="00EA1C22">
              <w:rPr>
                <w:rFonts w:ascii="Times New Roman" w:eastAsia="Times New Roman" w:hAnsi="Times New Roman" w:cs="Times New Roman"/>
                <w:sz w:val="20"/>
                <w:szCs w:val="20"/>
              </w:rPr>
              <w:t xml:space="preserve"> </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Przeznaczenie terenu</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i minimalna intensywność zabudowy</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wysokość zabudowy</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Minimalny udział procentowy powierzchni biologicznie czynnej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Minimalna liczba miejsc do parkowania</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środowiska i zdrowia ludzi, przyrody i krajobrazu</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zabudowy i zagospodarowania terenu położonego na obszarach szczególnego zagrożenia powodzią</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dziedzictwa kulturowego i zabytków oraz dóbr kultury współczesnej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ochrony innych terenów lub obiektów podlegających ochronie na podstawie przepisów odrębnych</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komunikacji</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51"/>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infrastruktury technicznej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88"/>
        </w:trPr>
        <w:tc>
          <w:tcPr>
            <w:tcW w:w="2810" w:type="dxa"/>
            <w:vMerge w:val="restart"/>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obowiązującego miejscowego planu zagospodarowania przestrzennego</w:t>
            </w:r>
            <w:r w:rsidR="00920895">
              <w:rPr>
                <w:rFonts w:ascii="Times New Roman" w:eastAsia="Times New Roman" w:hAnsi="Times New Roman" w:cs="Times New Roman"/>
                <w:sz w:val="20"/>
                <w:szCs w:val="20"/>
                <w:lang w:eastAsia="pl-PL"/>
              </w:rPr>
              <w:t xml:space="preserve"> </w:t>
            </w:r>
            <w:r w:rsidRPr="00EA1C22">
              <w:rPr>
                <w:rFonts w:ascii="Times New Roman" w:eastAsia="Times New Roman" w:hAnsi="Times New Roman" w:cs="Times New Roman"/>
                <w:sz w:val="20"/>
                <w:szCs w:val="20"/>
                <w:lang w:eastAsia="pl-PL"/>
              </w:rPr>
              <w:t>dla działek lub ich fragmentów, znajdujących się w odległości do 100 m od granicy terenu objętego przedsięwzięciem deweloperskim lub zadaniem inwestycyjnym</w:t>
            </w:r>
            <w:r w:rsidRPr="00EA1C22">
              <w:rPr>
                <w:rFonts w:ascii="Times New Roman" w:eastAsia="Times New Roman" w:hAnsi="Times New Roman" w:cs="Times New Roman"/>
                <w:sz w:val="20"/>
                <w:szCs w:val="20"/>
                <w:vertAlign w:val="superscript"/>
                <w:lang w:eastAsia="pl-PL"/>
              </w:rPr>
              <w:footnoteReference w:customMarkFollows="1" w:id="5"/>
              <w:t>*</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Przeznaczenie terenu</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88"/>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i minimalna intensywność zabudowy</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88"/>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wysokość zabudowy</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88"/>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Minimalny udział procentowy powierzchni biologicznie czynnej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88"/>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Minimalna liczba miejsc do parkowania</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687"/>
        </w:trPr>
        <w:tc>
          <w:tcPr>
            <w:tcW w:w="2810" w:type="dxa"/>
            <w:vMerge w:val="restart"/>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decyzji o warunkach zabudowy albo decyzji o ustaleniu lokalizacji inwestycji celu publicznego dla terenu objętego przedsięwzięciem deweloperskim lub zadaniem inwestycyjnym w przypadku braku miejscowego planu zagospodarowania przestrzennego</w:t>
            </w:r>
          </w:p>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Funkcja zabudowy i zagospodarowania terenu</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Univers-PL" w:hAnsi="Times New Roman" w:cs="Times New Roman"/>
                <w:sz w:val="20"/>
                <w:szCs w:val="20"/>
                <w:lang w:eastAsia="pl-PL"/>
              </w:rPr>
            </w:pPr>
          </w:p>
          <w:p w:rsidR="00EA1C22" w:rsidRPr="00EA1C22" w:rsidRDefault="00EA1C22" w:rsidP="00EA1C22">
            <w:pPr>
              <w:spacing w:beforeLines="60" w:before="144" w:afterLines="60" w:after="144" w:line="240" w:lineRule="auto"/>
              <w:jc w:val="both"/>
              <w:rPr>
                <w:rFonts w:ascii="Times New Roman" w:eastAsia="Univers-PL" w:hAnsi="Times New Roman" w:cs="Times New Roman"/>
                <w:sz w:val="20"/>
                <w:szCs w:val="20"/>
                <w:lang w:eastAsia="pl-PL"/>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Univers-PL" w:hAnsi="Times New Roman" w:cs="Times New Roman"/>
                <w:sz w:val="20"/>
                <w:szCs w:val="20"/>
                <w:lang w:eastAsia="pl-PL"/>
              </w:rPr>
              <w:t>Sposób użytkowania obiektów budowlanych oraz zagospodarowania terenu</w:t>
            </w: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Cechy zabudowy i zagospodarowania terenu:</w:t>
            </w: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gabaryty</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forma architektoniczna</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usytuowanie linii zabudowy</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intensywność wykorzystania terenu</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środowiska i zdrowia ludzi, przyrody i krajobrazu</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zabudowy i zagospodarowania terenu położonego na obszarach szczególnego zagrożenia powodzią</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dziedzictwa kulturowego i zabytków oraz dóbr kultury współczesnej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ochrony innych terenów lub obiektów podlegających ochronie na podstawie przepisów odrębnych</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komunikacji</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infrastruktury technicznej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73"/>
        </w:trPr>
        <w:tc>
          <w:tcPr>
            <w:tcW w:w="2810" w:type="dxa"/>
            <w:vMerge w:val="restart"/>
            <w:shd w:val="clear" w:color="auto" w:fill="F3F3F3"/>
          </w:tcPr>
          <w:p w:rsidR="00EA1C22" w:rsidRPr="00EA1C22" w:rsidRDefault="00EA1C22" w:rsidP="00EA1C22">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Informacje dotyczące przewidzianych inwestycji w promieniu </w:t>
            </w:r>
            <w:smartTag w:uri="urn:schemas-microsoft-com:office:smarttags" w:element="metricconverter">
              <w:smartTagPr>
                <w:attr w:name="ProductID" w:val="1 km"/>
              </w:smartTagPr>
              <w:r w:rsidRPr="00EA1C22">
                <w:rPr>
                  <w:rFonts w:ascii="Times New Roman" w:eastAsia="Times New Roman" w:hAnsi="Times New Roman" w:cs="Times New Roman"/>
                  <w:sz w:val="20"/>
                  <w:szCs w:val="20"/>
                </w:rPr>
                <w:t>1 km</w:t>
              </w:r>
            </w:smartTag>
            <w:r w:rsidRPr="00EA1C22">
              <w:rPr>
                <w:rFonts w:ascii="Times New Roman" w:eastAsia="Times New Roman" w:hAnsi="Times New Roman" w:cs="Times New Roman"/>
                <w:sz w:val="20"/>
                <w:szCs w:val="20"/>
              </w:rPr>
              <w:t xml:space="preserve"> od przedmiotowej nieruchomości</w:t>
            </w:r>
            <w:r w:rsidRPr="00EA1C22">
              <w:rPr>
                <w:rFonts w:ascii="Times New Roman" w:eastAsia="Times New Roman" w:hAnsi="Times New Roman" w:cs="Times New Roman"/>
                <w:sz w:val="20"/>
                <w:szCs w:val="20"/>
                <w:vertAlign w:val="superscript"/>
              </w:rPr>
              <w:footnoteReference w:customMarkFollows="1" w:id="6"/>
              <w:t>5)</w:t>
            </w:r>
            <w:r w:rsidRPr="00EA1C22">
              <w:rPr>
                <w:rFonts w:ascii="Times New Roman" w:eastAsia="Times New Roman" w:hAnsi="Times New Roman" w:cs="Times New Roman"/>
                <w:sz w:val="20"/>
                <w:szCs w:val="20"/>
              </w:rPr>
              <w:t>, zawarte w:</w:t>
            </w:r>
          </w:p>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miejscowych planach zagospodarowania przestrzennego</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7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studium uwarunkowań i kierunków zagospodarowania przestrzennego gminy </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7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widowControl w:val="0"/>
              <w:autoSpaceDE w:val="0"/>
              <w:autoSpaceDN w:val="0"/>
              <w:adjustRightInd w:val="0"/>
              <w:spacing w:after="0" w:line="360" w:lineRule="auto"/>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decyzjach o warunkach zabudowy i zagospodarowania terenu</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7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decyzjach o środowiskowych uwarunkowaniach</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7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decyzjach o obszarach ograniczonego użytkowania</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7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miejscowych planach odbudowy</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7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mapach zagrożenia powodziowego i mapach ryzyka powodziowego</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7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6838" w:type="dxa"/>
            <w:gridSpan w:val="2"/>
            <w:shd w:val="clear" w:color="auto" w:fill="auto"/>
          </w:tcPr>
          <w:p w:rsidR="00EA1C22" w:rsidRPr="00EA1C22" w:rsidRDefault="00EA1C22" w:rsidP="0012739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Ustalenia decyzji w zakresie rozmieszczenia inwestycji celu publicznego, mogące mieć znaczenie dla terenu objętego przedsięwzięciem deweloperskim lub zadaniem inwestycyjnym:</w:t>
            </w:r>
          </w:p>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EA1C22" w:rsidRPr="00EA1C22" w:rsidTr="002568E5">
        <w:trPr>
          <w:trHeight w:val="84"/>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zezwoleniu na realizację inwestycji drogowej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linii kolejowej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zezwoleniu na realizację inwestycji w zakresie lotniska użytku publicznego</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pozwoleniu na realizację inwestycji w zakresie budowli przeciwpowodziowych</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inwestycji w zakresie budowy obiektu energetyki jądrowej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strategicznej inwestycji w zakresie sieci przesyłowej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regionalnej sieci szerokopasmowej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decyzja o ustaleniu lokalizacji inwestycji w zakresie Centralnego Portu Komunikacyjnego </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w:t>
            </w:r>
            <w:r w:rsidR="00920895">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o zezwoleniu na realizację</w:t>
            </w:r>
            <w:r w:rsidR="00920895">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inwestycji w zakresie infrastruktury dostępowej</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81"/>
        </w:trPr>
        <w:tc>
          <w:tcPr>
            <w:tcW w:w="2810" w:type="dxa"/>
            <w:vMerge/>
            <w:shd w:val="clear" w:color="auto" w:fill="F3F3F3"/>
          </w:tcPr>
          <w:p w:rsidR="00EA1C22" w:rsidRPr="00EA1C22"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decyzja o ustaleniu lokalizacji strategicznej inwestycji w sektorze naftowym</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390"/>
        </w:trPr>
        <w:tc>
          <w:tcPr>
            <w:tcW w:w="9648" w:type="dxa"/>
            <w:gridSpan w:val="3"/>
            <w:shd w:val="clear" w:color="auto" w:fill="D9D9D9"/>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INFORMACJE DOTYCZĄCE BUDYNKU</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390"/>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jest pozwolenie na budowę</w:t>
            </w:r>
            <w:r w:rsidRPr="00EA1C22">
              <w:rPr>
                <w:rFonts w:ascii="Times New Roman" w:eastAsia="Times New Roman" w:hAnsi="Times New Roman" w:cs="Times New Roman"/>
                <w:sz w:val="20"/>
                <w:szCs w:val="20"/>
              </w:rPr>
              <w:br/>
            </w:r>
          </w:p>
        </w:tc>
        <w:tc>
          <w:tcPr>
            <w:tcW w:w="3419" w:type="dxa"/>
            <w:shd w:val="clear" w:color="auto" w:fill="auto"/>
            <w:vAlign w:val="center"/>
          </w:tcPr>
          <w:p w:rsidR="00EA1C22" w:rsidRPr="00EA1C22" w:rsidRDefault="00EA1C22" w:rsidP="00EA1C22">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tak</w:t>
            </w:r>
            <w:r w:rsidRPr="00EA1C22">
              <w:rPr>
                <w:rFonts w:ascii="Times New Roman" w:eastAsia="Times New Roman" w:hAnsi="Times New Roman" w:cs="Times New Roman"/>
                <w:sz w:val="20"/>
                <w:szCs w:val="20"/>
                <w:vertAlign w:val="superscript"/>
              </w:rPr>
              <w:footnoteReference w:customMarkFollows="1" w:id="7"/>
              <w:t>*</w:t>
            </w:r>
          </w:p>
        </w:tc>
        <w:tc>
          <w:tcPr>
            <w:tcW w:w="3419" w:type="dxa"/>
            <w:shd w:val="clear" w:color="auto" w:fill="auto"/>
            <w:vAlign w:val="center"/>
          </w:tcPr>
          <w:p w:rsidR="00EA1C22" w:rsidRPr="00EA1C22" w:rsidRDefault="00EA1C22" w:rsidP="00EA1C22">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nie*</w:t>
            </w:r>
          </w:p>
        </w:tc>
      </w:tr>
      <w:tr w:rsidR="00EA1C22" w:rsidRPr="00EA1C22" w:rsidTr="002568E5">
        <w:trPr>
          <w:trHeight w:val="390"/>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pozwolenie na budowę jest ostateczne</w:t>
            </w:r>
          </w:p>
        </w:tc>
        <w:tc>
          <w:tcPr>
            <w:tcW w:w="3419" w:type="dxa"/>
            <w:shd w:val="clear" w:color="auto" w:fill="auto"/>
            <w:vAlign w:val="center"/>
          </w:tcPr>
          <w:p w:rsidR="00EA1C22" w:rsidRPr="00EA1C22" w:rsidRDefault="00EA1C22" w:rsidP="00EA1C22">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tak*</w:t>
            </w:r>
          </w:p>
        </w:tc>
        <w:tc>
          <w:tcPr>
            <w:tcW w:w="3419" w:type="dxa"/>
            <w:shd w:val="clear" w:color="auto" w:fill="auto"/>
            <w:vAlign w:val="center"/>
          </w:tcPr>
          <w:p w:rsidR="00EA1C22" w:rsidRPr="00EA1C22" w:rsidRDefault="00EA1C22" w:rsidP="00EA1C22">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nie*</w:t>
            </w:r>
          </w:p>
        </w:tc>
      </w:tr>
      <w:tr w:rsidR="00EA1C22" w:rsidRPr="00EA1C22" w:rsidTr="002568E5">
        <w:trPr>
          <w:trHeight w:val="390"/>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pozwolenie na budowę jest zaskarżone</w:t>
            </w:r>
          </w:p>
        </w:tc>
        <w:tc>
          <w:tcPr>
            <w:tcW w:w="3419" w:type="dxa"/>
            <w:shd w:val="clear" w:color="auto" w:fill="auto"/>
            <w:vAlign w:val="center"/>
          </w:tcPr>
          <w:p w:rsidR="00EA1C22" w:rsidRPr="00EA1C22" w:rsidRDefault="00EA1C22" w:rsidP="00EA1C22">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tak*</w:t>
            </w:r>
          </w:p>
        </w:tc>
        <w:tc>
          <w:tcPr>
            <w:tcW w:w="3419" w:type="dxa"/>
            <w:shd w:val="clear" w:color="auto" w:fill="auto"/>
            <w:vAlign w:val="center"/>
          </w:tcPr>
          <w:p w:rsidR="00EA1C22" w:rsidRPr="00EA1C22" w:rsidRDefault="00EA1C22" w:rsidP="00EA1C22">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nie*</w:t>
            </w:r>
          </w:p>
        </w:tc>
      </w:tr>
      <w:tr w:rsidR="00EA1C22" w:rsidRPr="00EA1C22" w:rsidTr="002568E5">
        <w:trPr>
          <w:trHeight w:val="195"/>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pozwolenia na budowę oraz nazwa organu, który je wydał</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95"/>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Data uprawomocnienia się decyzji o pozwoleniu na użytkowanie budynku</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95"/>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zakończenia budowy domu jednorodzinnego </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195"/>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Planowany termin rozpoczęcia i zakończenia robót budowlanych</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325"/>
        </w:trPr>
        <w:tc>
          <w:tcPr>
            <w:tcW w:w="2810" w:type="dxa"/>
            <w:vMerge w:val="restart"/>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12739C">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Opis przedsięwzięcia deweloperskiego albo zadania inwestycyjnego</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Liczba budynków </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325"/>
        </w:trPr>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Rozmieszczenie budynków na nieruchomości (należy podać minimalny odstęp między budynkami)</w:t>
            </w:r>
          </w:p>
        </w:tc>
        <w:tc>
          <w:tcPr>
            <w:tcW w:w="3419" w:type="dxa"/>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488"/>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Sposób pomiaru powierzchni użytkowej</w:t>
            </w:r>
            <w:r w:rsidR="00920895">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lokalu mieszkalnego albo domu jednorodzinnego</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0" w:type="dxa"/>
            <w:vMerge w:val="restart"/>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Zamierzony sposób i procentowy udział źródeł finansowania przedsięwzięcia deweloperskiego lub zadania inwestycyjnego</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rsidR="00EA1C22" w:rsidRPr="00EA1C22" w:rsidDel="00E703EC"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Rodzaj posiadanych środków finansowych – kredyt, środki własne, inne</w:t>
            </w:r>
          </w:p>
        </w:tc>
        <w:tc>
          <w:tcPr>
            <w:tcW w:w="3419"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 następujących instytucjach finansowych (wypełnia się w przypadku kredytu)</w:t>
            </w:r>
          </w:p>
        </w:tc>
        <w:tc>
          <w:tcPr>
            <w:tcW w:w="3419"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7E3E4D">
        <w:trPr>
          <w:trHeight w:val="1481"/>
        </w:trPr>
        <w:tc>
          <w:tcPr>
            <w:tcW w:w="2810" w:type="dxa"/>
            <w:vMerge w:val="restart"/>
            <w:shd w:val="clear" w:color="auto" w:fill="F3F3F3"/>
          </w:tcPr>
          <w:p w:rsidR="00EA1C22" w:rsidRPr="00EA1C22" w:rsidRDefault="00EA1C22" w:rsidP="00EA1C22">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Środki ochrony nabywców</w:t>
            </w:r>
          </w:p>
        </w:tc>
        <w:tc>
          <w:tcPr>
            <w:tcW w:w="3419"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Otwarty mieszkaniowy rachunek powierniczy*</w:t>
            </w:r>
          </w:p>
        </w:tc>
        <w:tc>
          <w:tcPr>
            <w:tcW w:w="3419"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Zamknięty mieszkaniowy rachunek powierniczy*</w:t>
            </w:r>
          </w:p>
        </w:tc>
      </w:tr>
      <w:tr w:rsidR="00EA1C22" w:rsidRPr="00EA1C22" w:rsidTr="002568E5">
        <w:tc>
          <w:tcPr>
            <w:tcW w:w="2810" w:type="dxa"/>
            <w:vMerge/>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Wysokość stawki procentowej, według której jest obliczana kwota składki na Deweloperski Fundusz Gwarancyjny</w:t>
            </w:r>
            <w:r w:rsidRPr="00EA1C22">
              <w:rPr>
                <w:rFonts w:ascii="Times New Roman" w:eastAsia="Times New Roman" w:hAnsi="Times New Roman" w:cs="Times New Roman"/>
                <w:sz w:val="20"/>
                <w:szCs w:val="20"/>
                <w:vertAlign w:val="superscript"/>
              </w:rPr>
              <w:footnoteReference w:customMarkFollows="1" w:id="8"/>
              <w:t>6)</w:t>
            </w:r>
            <w:r w:rsidRPr="00EA1C22">
              <w:rPr>
                <w:rFonts w:ascii="Times New Roman" w:eastAsia="Times New Roman" w:hAnsi="Times New Roman" w:cs="Times New Roman"/>
                <w:sz w:val="20"/>
                <w:szCs w:val="20"/>
              </w:rPr>
              <w:t xml:space="preserve"> </w:t>
            </w:r>
          </w:p>
        </w:tc>
        <w:tc>
          <w:tcPr>
            <w:tcW w:w="3419" w:type="dxa"/>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2810" w:type="dxa"/>
            <w:shd w:val="clear" w:color="auto" w:fill="F3F3F3"/>
          </w:tcPr>
          <w:p w:rsidR="00EA1C22" w:rsidRPr="00EA1C22" w:rsidRDefault="00EA1C22" w:rsidP="0012739C">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Główne zasady funkcjonowania wybranego rodzaju zabezpieczenia środków nabywcy</w:t>
            </w:r>
          </w:p>
        </w:tc>
        <w:tc>
          <w:tcPr>
            <w:tcW w:w="6838" w:type="dxa"/>
            <w:gridSpan w:val="2"/>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93"/>
        </w:trPr>
        <w:tc>
          <w:tcPr>
            <w:tcW w:w="2810" w:type="dxa"/>
            <w:shd w:val="clear" w:color="auto" w:fill="F3F3F3"/>
          </w:tcPr>
          <w:p w:rsidR="00EA1C22" w:rsidRPr="00EA1C22" w:rsidRDefault="00EA1C22" w:rsidP="0012739C">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Nazwa instytucji zapewniającej bezpieczeństwo środków nabywcy</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488"/>
        </w:trPr>
        <w:tc>
          <w:tcPr>
            <w:tcW w:w="2810" w:type="dxa"/>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Harmonogram przedsięwzięcia deweloperskiego lub</w:t>
            </w:r>
            <w:r w:rsidR="00920895">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zadania inwestycyjnego</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rPr>
          <w:trHeight w:val="292"/>
        </w:trPr>
        <w:tc>
          <w:tcPr>
            <w:tcW w:w="2810" w:type="dxa"/>
            <w:shd w:val="clear" w:color="auto" w:fill="F3F3F3"/>
          </w:tcPr>
          <w:p w:rsidR="00EA1C22" w:rsidRPr="00EA1C22" w:rsidRDefault="00EA1C22" w:rsidP="0012739C">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Dopuszczenie waloryzacji ceny oraz określenie zasad waloryzacji</w:t>
            </w:r>
          </w:p>
        </w:tc>
        <w:tc>
          <w:tcPr>
            <w:tcW w:w="6838" w:type="dxa"/>
            <w:gridSpan w:val="2"/>
            <w:shd w:val="clear" w:color="auto" w:fill="auto"/>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2568E5">
        <w:tc>
          <w:tcPr>
            <w:tcW w:w="9648" w:type="dxa"/>
            <w:gridSpan w:val="3"/>
            <w:tcBorders>
              <w:bottom w:val="single" w:sz="4" w:space="0" w:color="auto"/>
            </w:tcBorders>
            <w:shd w:val="clear" w:color="auto" w:fill="E0E0E0"/>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WARUNKI ODSTĄPIENIA OD UMOWY DEWELOPERSKIEJ LUB UMOWY, O KTÓREJ MOWA W ART. 2 UST. 1 PKT 2, 3 LUB 5 USTAWY Z DNIA ….</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O OCHRONIE PRAW NABYWCY LOKALU MIESZKALNEGO LUB DOMU JEDNORODZINNEGO ORAZ O DEWELOPERSKIM FUNDUSZU GWARANCYJNYM (Dz. U.</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tc>
      </w:tr>
      <w:tr w:rsidR="00EA1C22" w:rsidRPr="00EA1C22" w:rsidTr="002568E5">
        <w:trPr>
          <w:trHeight w:val="1512"/>
        </w:trPr>
        <w:tc>
          <w:tcPr>
            <w:tcW w:w="2810" w:type="dxa"/>
            <w:tcBorders>
              <w:bottom w:val="single" w:sz="4" w:space="0" w:color="auto"/>
            </w:tcBorders>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Należy opisać, na jakich warunkach można odstąpić od umowy deweloperskiej lub jednej z umów, o których mowa w art. 2 ust. 1 pkt 2, 3 lub</w:t>
            </w:r>
            <w:r w:rsidR="00920895">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5 ustawy z dnia … o ochronie praw nabywcy lokalu mieszkalnego lub domu jednorodzinnego oraz o Deweloperskim Funduszu Gwarancyjnym</w:t>
            </w:r>
          </w:p>
        </w:tc>
        <w:tc>
          <w:tcPr>
            <w:tcW w:w="6838" w:type="dxa"/>
            <w:gridSpan w:val="2"/>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rsidTr="00A80C58">
        <w:trPr>
          <w:trHeight w:val="510"/>
        </w:trPr>
        <w:tc>
          <w:tcPr>
            <w:tcW w:w="9648" w:type="dxa"/>
            <w:gridSpan w:val="3"/>
            <w:tcBorders>
              <w:bottom w:val="single" w:sz="4" w:space="0" w:color="auto"/>
            </w:tcBorders>
            <w:shd w:val="clear" w:color="auto" w:fill="D9D9D9"/>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 xml:space="preserve">INNE INFORMACJE </w:t>
            </w:r>
          </w:p>
        </w:tc>
      </w:tr>
      <w:tr w:rsidR="00EA1C22" w:rsidRPr="00EA1C22" w:rsidTr="00A80C58">
        <w:trPr>
          <w:trHeight w:val="1512"/>
        </w:trPr>
        <w:tc>
          <w:tcPr>
            <w:tcW w:w="9648" w:type="dxa"/>
            <w:gridSpan w:val="3"/>
            <w:tcBorders>
              <w:bottom w:val="nil"/>
            </w:tcBorders>
            <w:shd w:val="clear" w:color="auto" w:fill="F3F3F3"/>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 Informacja o:</w:t>
            </w:r>
          </w:p>
          <w:p w:rsidR="00EA1C22" w:rsidRPr="00EA1C22" w:rsidRDefault="0012739C" w:rsidP="00EF63EF">
            <w:pPr>
              <w:spacing w:beforeLines="60" w:before="144" w:afterLines="60" w:after="144" w:line="240" w:lineRule="auto"/>
              <w:ind w:left="313" w:hanging="313"/>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rPr>
              <w:t>1)</w:t>
            </w:r>
            <w:r w:rsidR="00EF63EF">
              <w:rPr>
                <w:rFonts w:ascii="Times New Roman" w:eastAsia="Times New Roman" w:hAnsi="Times New Roman" w:cs="Times New Roman"/>
                <w:sz w:val="20"/>
                <w:szCs w:val="20"/>
              </w:rPr>
              <w:tab/>
            </w:r>
            <w:r w:rsidR="00EA1C22" w:rsidRPr="00EA1C22">
              <w:rPr>
                <w:rFonts w:ascii="Times New Roman" w:eastAsia="Times New Roman" w:hAnsi="Times New Roman" w:cs="Times New Roman"/>
                <w:sz w:val="20"/>
                <w:szCs w:val="20"/>
              </w:rPr>
              <w:t xml:space="preserve">zgodzie </w:t>
            </w:r>
            <w:r w:rsidR="00EA1C22" w:rsidRPr="00EA1C22">
              <w:rPr>
                <w:rFonts w:ascii="Times New Roman" w:eastAsia="Times New Roman" w:hAnsi="Times New Roman" w:cs="Times New Roman"/>
                <w:sz w:val="20"/>
                <w:szCs w:val="20"/>
                <w:lang w:eastAsia="pl-PL"/>
              </w:rPr>
              <w:t xml:space="preserve">banku lub innego wierzyciela hipotecznego na bezobciążeniowe ustanowienie odrębnej własności lokalu mieszkalnego i przeniesienie jego własności na nabywcę po wpłacie pełnej ceny przez nabywcę lub zobowiązanie do jej udzielenia, jeżeli takie obciążenie istnieje, albo zgodzie banku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w:t>
            </w:r>
          </w:p>
          <w:p w:rsidR="00EA1C22" w:rsidRPr="00EA1C22" w:rsidRDefault="00EA1C22" w:rsidP="00EF63EF">
            <w:pPr>
              <w:spacing w:beforeLines="60" w:before="144" w:afterLines="60" w:after="144" w:line="240" w:lineRule="auto"/>
              <w:ind w:left="313" w:hanging="313"/>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2)</w:t>
            </w:r>
            <w:r w:rsidR="00EF63EF">
              <w:rPr>
                <w:rFonts w:ascii="Times New Roman" w:eastAsia="Times New Roman" w:hAnsi="Times New Roman" w:cs="Times New Roman"/>
                <w:sz w:val="20"/>
                <w:szCs w:val="20"/>
                <w:lang w:eastAsia="pl-PL"/>
              </w:rPr>
              <w:tab/>
            </w:r>
            <w:r w:rsidRPr="00EA1C22">
              <w:rPr>
                <w:rFonts w:ascii="Times New Roman" w:eastAsia="Times New Roman" w:hAnsi="Times New Roman" w:cs="Times New Roman"/>
                <w:sz w:val="20"/>
                <w:szCs w:val="20"/>
              </w:rPr>
              <w:t>w przypadku umów, o których mowa w art. 2 ust. 2 ustawy z dnia … o ochronie praw nabywcy lokalu mieszkalnego lub domu jednorodzinnego oraz o Deweloperskim Funduszu Gwarancyjnym,</w:t>
            </w:r>
            <w:r w:rsidR="00920895">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 xml:space="preserve">o </w:t>
            </w:r>
            <w:r w:rsidRPr="00EA1C22">
              <w:rPr>
                <w:rFonts w:ascii="Times New Roman" w:eastAsia="Times New Roman" w:hAnsi="Times New Roman" w:cs="Times New Roman"/>
                <w:sz w:val="20"/>
                <w:szCs w:val="20"/>
                <w:lang w:eastAsia="pl-PL"/>
              </w:rPr>
              <w:t>zgodzie banku lub innego wierzyciela hipotecznego na bezobciążeniowe przeniesienie</w:t>
            </w:r>
            <w:r w:rsidR="00920895">
              <w:rPr>
                <w:rFonts w:ascii="Times New Roman" w:eastAsia="Times New Roman" w:hAnsi="Times New Roman" w:cs="Times New Roman"/>
                <w:sz w:val="20"/>
                <w:szCs w:val="20"/>
                <w:lang w:eastAsia="pl-PL"/>
              </w:rPr>
              <w:t xml:space="preserve"> </w:t>
            </w:r>
            <w:r w:rsidRPr="00EA1C22">
              <w:rPr>
                <w:rFonts w:ascii="Times New Roman" w:eastAsia="Times New Roman" w:hAnsi="Times New Roman" w:cs="Times New Roman"/>
                <w:sz w:val="20"/>
                <w:szCs w:val="20"/>
                <w:lang w:eastAsia="pl-PL"/>
              </w:rPr>
              <w:t>własności lokalu użytkowego na nabywcę po wpłacie pełnej ceny przez nabywcę lub zobowiązanie do udzielenia takiej zgody, jeżeli takie obciążenie istnieje, albo zgodzie banku lub innego wierzyciela hipotecznego na bezobciążeniowe przeniesienie na nabywcę ułamkowej części własności lokalu użytkowego po wpłacie pełnej ceny przez nabywcę lub zobowiązanie do udzielenia takiej zgody, jeżeli takie obciążenie istnieje.</w:t>
            </w:r>
          </w:p>
        </w:tc>
      </w:tr>
      <w:tr w:rsidR="00EA1C22" w:rsidRPr="00EA1C22" w:rsidTr="00A80C58">
        <w:trPr>
          <w:trHeight w:val="1512"/>
        </w:trPr>
        <w:tc>
          <w:tcPr>
            <w:tcW w:w="9648" w:type="dxa"/>
            <w:gridSpan w:val="3"/>
            <w:tcBorders>
              <w:top w:val="nil"/>
              <w:bottom w:val="nil"/>
            </w:tcBorders>
            <w:shd w:val="clear" w:color="auto" w:fill="FFFFFF"/>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II. Informacja o możliwości zapoznania się w lokalu przedsiębiorstwa przez osobę zainteresowaną zawarciem umowy odpowiednio do zakresu umowy z:</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aktualnym stanem księgi wieczystej;</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 lub wydrukiem ze strony internetowej tej ewidencji;</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kopią decyzji o pozwoleniu na budowę;</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sprawozdaniem finansowym dewelopera za ostatnie dwa lata, a w przypadku realizacji inwestycji przez spółkę celową – sprawozdaniem spółki dominującej oraz spółki celowej;</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projektem budowlanym;</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kopią decyzji o pozwoleniu na użytkowanie budynku;</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zaświadczeniem o samodzielności lokalu;</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aktem ustanowienia odrębnej własności lokalu;</w:t>
            </w:r>
          </w:p>
          <w:p w:rsidR="00EA1C22" w:rsidRPr="00EA1C22" w:rsidRDefault="00EA1C22" w:rsidP="00EF63EF">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dokumentem potwierdzającym:</w:t>
            </w:r>
          </w:p>
          <w:p w:rsidR="00EA1C22" w:rsidRPr="00EA1C22" w:rsidRDefault="00EA1C22" w:rsidP="00EF63EF">
            <w:pPr>
              <w:widowControl w:val="0"/>
              <w:numPr>
                <w:ilvl w:val="0"/>
                <w:numId w:val="4"/>
              </w:numPr>
              <w:autoSpaceDE w:val="0"/>
              <w:autoSpaceDN w:val="0"/>
              <w:adjustRightInd w:val="0"/>
              <w:spacing w:beforeLines="60" w:before="144" w:afterLines="60" w:after="144" w:line="240" w:lineRule="auto"/>
              <w:ind w:left="1163" w:hanging="425"/>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zgodę </w:t>
            </w:r>
            <w:r w:rsidRPr="00EA1C22">
              <w:rPr>
                <w:rFonts w:ascii="Times New Roman" w:eastAsia="Times New Roman" w:hAnsi="Times New Roman" w:cs="Times New Roman"/>
                <w:sz w:val="20"/>
                <w:szCs w:val="20"/>
                <w:lang w:eastAsia="pl-PL"/>
              </w:rPr>
              <w:t xml:space="preserve">banku lub innego wierzyciela hipotecznego na bezobciążeniowe ustanowienie odrębnej własności lokalu mieszkalnego i przeniesienie jego własności na nabywcę po wpłacie pełnej ceny przez nabywcę lub zobowiązaniem do jej udzielenia, jeżeli takie obciążenie istnieje, albo zgodą banku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zobowiązaniem do jej udzielenia, jeżeli takie obciążenie istnieje, </w:t>
            </w:r>
          </w:p>
          <w:p w:rsidR="00EA1C22" w:rsidRPr="00EA1C22" w:rsidRDefault="00EA1C22" w:rsidP="00EF63EF">
            <w:pPr>
              <w:widowControl w:val="0"/>
              <w:numPr>
                <w:ilvl w:val="0"/>
                <w:numId w:val="4"/>
              </w:numPr>
              <w:autoSpaceDE w:val="0"/>
              <w:autoSpaceDN w:val="0"/>
              <w:adjustRightInd w:val="0"/>
              <w:spacing w:beforeLines="60" w:before="144" w:afterLines="60" w:after="144" w:line="240" w:lineRule="auto"/>
              <w:ind w:left="1163" w:hanging="425"/>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 przypadku umów, o których mowa w art. 2 ust. 2 z dnia … o ochronie praw nabywcy lokalu mieszkalnego lub domu jednorodzinnego oraz o Deweloperskim Funduszu Gwarancyjnym,</w:t>
            </w:r>
            <w:r w:rsidR="00920895">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lang w:eastAsia="pl-PL"/>
              </w:rPr>
              <w:t>zgodą banku lub innego wierzyciela hipotecznego na bezobciążeniowe przeniesienie własności lokalu użytkowego na nabywcę po wpłacie pełnej ceny przez nabywcę lub zobowiązaniem do udzielenia takiej zgody, jeżeli takie obciążenie istnieje, albo zgodą banku lub innego wierzyciela hipotecznego na bezobciążeniowe przeniesienie na nabywcę ułamkowej części własności lokalu użytkowego po wpłacie pełnej ceny przez nabywcę lub zobowiązaniem do udzielenia takiej zgody, jeżeli takie obciążenie istnieje.</w:t>
            </w:r>
          </w:p>
        </w:tc>
      </w:tr>
      <w:tr w:rsidR="00EA1C22" w:rsidRPr="00EA1C22" w:rsidTr="00A80C58">
        <w:trPr>
          <w:trHeight w:val="1512"/>
        </w:trPr>
        <w:tc>
          <w:tcPr>
            <w:tcW w:w="9648" w:type="dxa"/>
            <w:gridSpan w:val="3"/>
            <w:tcBorders>
              <w:top w:val="nil"/>
            </w:tcBorders>
            <w:shd w:val="clear" w:color="auto" w:fill="FFFFFF"/>
          </w:tcPr>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III. Informacja:</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Środki pieniężne zgromadzone w… [nazwa banku prowadzącego mieszkaniowy rachunek powierniczy], 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Informacje podstawowe o obowiązkowym systemie gwarantowania depozytów:</w:t>
            </w:r>
          </w:p>
          <w:p w:rsidR="00EA1C22" w:rsidRPr="00EA1C22" w:rsidRDefault="00920895" w:rsidP="00920895">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00EA1C22" w:rsidRPr="00EA1C22">
              <w:rPr>
                <w:rFonts w:ascii="Times New Roman" w:eastAsia="Times New Roman" w:hAnsi="Times New Roman" w:cs="Times New Roman"/>
                <w:sz w:val="20"/>
                <w:szCs w:val="20"/>
              </w:rPr>
              <w:t>ochrona środków dotyczy sytuacji spełnienia warunku gwarancji wobec ………… [nazwa banku prowadzącego mieszkaniowy rachunek powierniczy],</w:t>
            </w:r>
          </w:p>
          <w:p w:rsidR="00EA1C22" w:rsidRPr="00EA1C22" w:rsidRDefault="00920895" w:rsidP="00920895">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00EA1C22" w:rsidRPr="00EA1C22">
              <w:rPr>
                <w:rFonts w:ascii="Times New Roman" w:eastAsia="Times New Roman" w:hAnsi="Times New Roman" w:cs="Times New Roman"/>
                <w:sz w:val="20"/>
                <w:szCs w:val="20"/>
              </w:rPr>
              <w:t>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w:t>
            </w:r>
          </w:p>
          <w:p w:rsidR="00EA1C22" w:rsidRPr="00EA1C22" w:rsidRDefault="00920895" w:rsidP="00920895">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00EA1C22" w:rsidRPr="00EA1C22">
              <w:rPr>
                <w:rFonts w:ascii="Times New Roman" w:eastAsia="Times New Roman" w:hAnsi="Times New Roman" w:cs="Times New Roman"/>
                <w:sz w:val="20"/>
                <w:szCs w:val="20"/>
              </w:rPr>
              <w:t>limit gwarancyjny przypadający na jednego deponent</w:t>
            </w:r>
            <w:r w:rsidR="004460C4">
              <w:rPr>
                <w:rFonts w:ascii="Times New Roman" w:eastAsia="Times New Roman" w:hAnsi="Times New Roman" w:cs="Times New Roman"/>
                <w:sz w:val="20"/>
                <w:szCs w:val="20"/>
              </w:rPr>
              <w:t>a to równowartość w złotych 100 </w:t>
            </w:r>
            <w:r w:rsidR="00EA1C22" w:rsidRPr="00EA1C22">
              <w:rPr>
                <w:rFonts w:ascii="Times New Roman" w:eastAsia="Times New Roman" w:hAnsi="Times New Roman" w:cs="Times New Roman"/>
                <w:sz w:val="20"/>
                <w:szCs w:val="20"/>
              </w:rPr>
              <w:t>000 euro; w przypadkach określonych w art. 24</w:t>
            </w:r>
            <w:r>
              <w:rPr>
                <w:rFonts w:ascii="Times New Roman" w:eastAsia="Times New Roman" w:hAnsi="Times New Roman" w:cs="Times New Roman"/>
                <w:sz w:val="20"/>
                <w:szCs w:val="20"/>
              </w:rPr>
              <w:t xml:space="preserve"> </w:t>
            </w:r>
            <w:r w:rsidR="00EA1C22" w:rsidRPr="00EA1C22">
              <w:rPr>
                <w:rFonts w:ascii="Times New Roman" w:eastAsia="Times New Roman" w:hAnsi="Times New Roman" w:cs="Times New Roman"/>
                <w:sz w:val="20"/>
                <w:szCs w:val="20"/>
              </w:rPr>
              <w:t>ust. 3 i 4 ustawy z dnia 10 czerwca 2016 r. o Bankowym Funduszu Gwarancyjnym, systemie gwarantowania depozytów oraz przymusowej restrukturyzacji, środki deponenta, w terminie 3 miesięcy od dnia ich wpływu na rachunek, objęte są gwarancjami p</w:t>
            </w:r>
            <w:r w:rsidR="00FD125F">
              <w:rPr>
                <w:rFonts w:ascii="Times New Roman" w:eastAsia="Times New Roman" w:hAnsi="Times New Roman" w:cs="Times New Roman"/>
                <w:sz w:val="20"/>
                <w:szCs w:val="20"/>
              </w:rPr>
              <w:t>onad równowartość w złotych 100 </w:t>
            </w:r>
            <w:r w:rsidR="00EA1C22" w:rsidRPr="00EA1C22">
              <w:rPr>
                <w:rFonts w:ascii="Times New Roman" w:eastAsia="Times New Roman" w:hAnsi="Times New Roman" w:cs="Times New Roman"/>
                <w:sz w:val="20"/>
                <w:szCs w:val="20"/>
              </w:rPr>
              <w:t>000 euro,</w:t>
            </w:r>
          </w:p>
          <w:p w:rsidR="00EA1C22" w:rsidRPr="00EA1C22" w:rsidRDefault="00920895" w:rsidP="00920895">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00EA1C22" w:rsidRPr="00EA1C22">
              <w:rPr>
                <w:rFonts w:ascii="Times New Roman" w:eastAsia="Times New Roman" w:hAnsi="Times New Roman" w:cs="Times New Roman"/>
                <w:sz w:val="20"/>
                <w:szCs w:val="20"/>
              </w:rPr>
              <w:t>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rsidR="00EA1C22" w:rsidRPr="00EA1C22" w:rsidRDefault="00920895" w:rsidP="00920895">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00EA1C22" w:rsidRPr="00EA1C22">
              <w:rPr>
                <w:rFonts w:ascii="Times New Roman" w:eastAsia="Times New Roman" w:hAnsi="Times New Roman" w:cs="Times New Roman"/>
                <w:sz w:val="20"/>
                <w:szCs w:val="20"/>
              </w:rPr>
              <w:t>wypłata środków gwarantowanych – co do zasady – następuje w terminie 7 dni roboczych od dnia spełnienia warunku gwarancji wobec banku,</w:t>
            </w:r>
          </w:p>
          <w:p w:rsidR="00EA1C22" w:rsidRPr="00EA1C22" w:rsidRDefault="00920895" w:rsidP="00920895">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00EA1C22" w:rsidRPr="00EA1C22">
              <w:rPr>
                <w:rFonts w:ascii="Times New Roman" w:eastAsia="Times New Roman" w:hAnsi="Times New Roman" w:cs="Times New Roman"/>
                <w:sz w:val="20"/>
                <w:szCs w:val="20"/>
              </w:rPr>
              <w:t>wypłata środków gwarantowanych jest dokonywana w złotych,</w:t>
            </w:r>
          </w:p>
          <w:p w:rsidR="00EA1C22" w:rsidRPr="00EA1C22" w:rsidRDefault="00920895" w:rsidP="00920895">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00EA1C22" w:rsidRPr="00EA1C22">
              <w:rPr>
                <w:rFonts w:ascii="Times New Roman" w:eastAsia="Times New Roman" w:hAnsi="Times New Roman" w:cs="Times New Roman"/>
                <w:sz w:val="20"/>
                <w:szCs w:val="20"/>
              </w:rPr>
              <w:t>………… [nazwa banku prowadzącego mieszkaniowy rachunek powierniczy] korzysta także z następujących znaków towarowych: …………</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Dalsze informacje na temat systemu gwarantowania depozytów można uzyskać na stronie internetowej Bankowego Funduszu Gwarancyjnego: https://www.bfg.pl/.</w:t>
            </w:r>
          </w:p>
          <w:p w:rsidR="00EA1C22" w:rsidRPr="00EA1C22" w:rsidRDefault="00EA1C22" w:rsidP="00EA1C22">
            <w:pPr>
              <w:widowControl w:val="0"/>
              <w:numPr>
                <w:ilvl w:val="0"/>
                <w:numId w:val="2"/>
              </w:numPr>
              <w:tabs>
                <w:tab w:val="num" w:pos="314"/>
                <w:tab w:val="left" w:pos="728"/>
              </w:tabs>
              <w:autoSpaceDE w:val="0"/>
              <w:autoSpaceDN w:val="0"/>
              <w:adjustRightInd w:val="0"/>
              <w:spacing w:beforeLines="60" w:before="144" w:afterLines="60" w:after="144" w:line="240" w:lineRule="auto"/>
              <w:ind w:left="30"/>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Informacja zamieszczana w przypadku </w:t>
            </w:r>
            <w:r w:rsidRPr="00EA1C22">
              <w:rPr>
                <w:rFonts w:ascii="Times New Roman" w:eastAsia="Times New Roman" w:hAnsi="Times New Roman" w:cs="Times New Roman"/>
                <w:bCs/>
                <w:sz w:val="20"/>
                <w:szCs w:val="20"/>
              </w:rPr>
              <w:t>zawarcia umowy mieszkaniowego rachunku powierniczego z oddziałem instytucji kredytowej, o której mowa w art. 4 ust. 1 pkt 18 ustawy z dnia 29 sierpnia 1997 r. – Prawo bankowe (Dz. U. z 2020 r. poz. 1896, 2320 i 2419).</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bCs/>
                <w:sz w:val="20"/>
                <w:szCs w:val="20"/>
              </w:rPr>
              <w:lastRenderedPageBreak/>
              <w:t xml:space="preserve">Oddział instytucji kredytowej, w rozumieniu art. 4 ust. 1 pkt 18 ustawy z dnia 29 sierpnia 1997 r. </w:t>
            </w:r>
            <w:r w:rsidR="00FD125F" w:rsidRPr="00EA1C22">
              <w:rPr>
                <w:rFonts w:ascii="Times New Roman" w:eastAsia="Times New Roman" w:hAnsi="Times New Roman" w:cs="Times New Roman"/>
                <w:bCs/>
                <w:sz w:val="20"/>
                <w:szCs w:val="20"/>
              </w:rPr>
              <w:t xml:space="preserve">– </w:t>
            </w:r>
            <w:r w:rsidRPr="00EA1C22">
              <w:rPr>
                <w:rFonts w:ascii="Times New Roman" w:eastAsia="Times New Roman" w:hAnsi="Times New Roman" w:cs="Times New Roman"/>
                <w:bCs/>
                <w:sz w:val="20"/>
                <w:szCs w:val="20"/>
              </w:rPr>
              <w:t>Prawo bankowe jest objęty systemem gwarantowania państwa macierzystego, co oznacza, że nie mają do niego zastosowania przepisy</w:t>
            </w:r>
            <w:r w:rsidR="00920895">
              <w:rPr>
                <w:rFonts w:ascii="Times New Roman" w:eastAsia="Times New Roman" w:hAnsi="Times New Roman" w:cs="Times New Roman"/>
                <w:bCs/>
                <w:sz w:val="20"/>
                <w:szCs w:val="20"/>
              </w:rPr>
              <w:t xml:space="preserve"> </w:t>
            </w:r>
            <w:r w:rsidRPr="00EA1C22">
              <w:rPr>
                <w:rFonts w:ascii="Times New Roman" w:eastAsia="Times New Roman" w:hAnsi="Times New Roman" w:cs="Times New Roman"/>
                <w:bCs/>
                <w:sz w:val="20"/>
                <w:szCs w:val="20"/>
              </w:rPr>
              <w:t>ustawy z dnia 10 czerwca 2016 r. o Bankowym Funduszu Gwarancyjnym systemie gwarantowania depozytów oraz przymusowej restrukturyzacji.</w:t>
            </w:r>
          </w:p>
        </w:tc>
      </w:tr>
    </w:tbl>
    <w:p w:rsidR="00A80C58" w:rsidRDefault="00A80C58" w:rsidP="00EA1C22">
      <w:pPr>
        <w:spacing w:beforeLines="60" w:before="144" w:afterLines="60" w:after="144" w:line="240" w:lineRule="auto"/>
        <w:jc w:val="right"/>
        <w:rPr>
          <w:rFonts w:ascii="Times New Roman" w:eastAsia="Times New Roman" w:hAnsi="Times New Roman" w:cs="Times New Roman"/>
          <w:b/>
          <w:sz w:val="20"/>
          <w:szCs w:val="20"/>
        </w:rPr>
      </w:pPr>
    </w:p>
    <w:p w:rsidR="00EA1C22" w:rsidRPr="00EA1C22" w:rsidRDefault="00EA1C22" w:rsidP="00EA1C22">
      <w:pPr>
        <w:spacing w:beforeLines="60" w:before="144" w:afterLines="60" w:after="144" w:line="240" w:lineRule="auto"/>
        <w:jc w:val="right"/>
        <w:rPr>
          <w:rFonts w:ascii="Times New Roman" w:eastAsia="Times New Roman" w:hAnsi="Times New Roman" w:cs="Times New Roman"/>
          <w:b/>
          <w:sz w:val="20"/>
          <w:szCs w:val="20"/>
        </w:rPr>
      </w:pPr>
    </w:p>
    <w:p w:rsidR="00EA1C22" w:rsidRPr="00EA1C22" w:rsidRDefault="00EA1C22" w:rsidP="00EA1C22">
      <w:pPr>
        <w:spacing w:beforeLines="60" w:before="144" w:afterLines="60" w:after="144" w:line="240" w:lineRule="auto"/>
        <w:jc w:val="right"/>
        <w:rPr>
          <w:rFonts w:ascii="Times New Roman" w:eastAsia="Times New Roman" w:hAnsi="Times New Roman" w:cs="Times New Roman"/>
          <w:b/>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CZĘŚĆ INDYWIDUALNA</w:t>
      </w:r>
    </w:p>
    <w:p w:rsidR="00EA1C22" w:rsidRPr="00EA1C22" w:rsidRDefault="00EA1C22" w:rsidP="00EA1C22">
      <w:pPr>
        <w:spacing w:beforeLines="60" w:before="144" w:afterLines="60" w:after="144" w:line="240" w:lineRule="auto"/>
        <w:rPr>
          <w:rFonts w:ascii="Times New Roman" w:eastAsia="Times New Roman" w:hAnsi="Times New Roman" w:cs="Times New Roman"/>
          <w:b/>
          <w:sz w:val="20"/>
          <w:szCs w:val="20"/>
        </w:rPr>
      </w:pPr>
    </w:p>
    <w:tbl>
      <w:tblPr>
        <w:tblStyle w:val="Tabela-Siatka111"/>
        <w:tblW w:w="0" w:type="auto"/>
        <w:tblLook w:val="04A0" w:firstRow="1" w:lastRow="0" w:firstColumn="1" w:lastColumn="0" w:noHBand="0" w:noVBand="1"/>
      </w:tblPr>
      <w:tblGrid>
        <w:gridCol w:w="3071"/>
        <w:gridCol w:w="3069"/>
        <w:gridCol w:w="2904"/>
      </w:tblGrid>
      <w:tr w:rsidR="00EA1C22" w:rsidRPr="00EA1C22" w:rsidTr="002568E5">
        <w:tc>
          <w:tcPr>
            <w:tcW w:w="3071" w:type="dxa"/>
            <w:tcBorders>
              <w:bottom w:val="single" w:sz="4" w:space="0" w:color="auto"/>
            </w:tcBorders>
            <w:shd w:val="clear" w:color="auto" w:fill="F2F2F2"/>
          </w:tcPr>
          <w:p w:rsidR="00EA1C22" w:rsidRPr="00EA1C22" w:rsidRDefault="00EA1C22" w:rsidP="00EA1C22">
            <w:pPr>
              <w:spacing w:beforeLines="60" w:before="144" w:afterLines="60" w:after="144"/>
              <w:jc w:val="both"/>
            </w:pPr>
            <w:r w:rsidRPr="00EA1C22">
              <w:t>Cena lokalu mieszkalnego albo domu jednorodzinnego</w:t>
            </w:r>
          </w:p>
        </w:tc>
        <w:tc>
          <w:tcPr>
            <w:tcW w:w="5973" w:type="dxa"/>
            <w:gridSpan w:val="2"/>
          </w:tcPr>
          <w:p w:rsidR="00EA1C22" w:rsidRPr="00EA1C22" w:rsidRDefault="00EA1C22" w:rsidP="00EA1C22">
            <w:pPr>
              <w:spacing w:beforeLines="60" w:before="144" w:afterLines="60" w:after="144"/>
              <w:rPr>
                <w:b/>
              </w:rPr>
            </w:pPr>
          </w:p>
        </w:tc>
      </w:tr>
      <w:tr w:rsidR="00EA1C22" w:rsidRPr="00EA1C22" w:rsidTr="002568E5">
        <w:tc>
          <w:tcPr>
            <w:tcW w:w="3071" w:type="dxa"/>
            <w:tcBorders>
              <w:bottom w:val="single" w:sz="4" w:space="0" w:color="auto"/>
            </w:tcBorders>
            <w:shd w:val="clear" w:color="auto" w:fill="F2F2F2"/>
          </w:tcPr>
          <w:p w:rsidR="00EA1C22" w:rsidRPr="00EA1C22" w:rsidRDefault="00EA1C22" w:rsidP="00EA1C22">
            <w:pPr>
              <w:spacing w:beforeLines="60" w:before="144" w:afterLines="60" w:after="144"/>
              <w:jc w:val="both"/>
            </w:pPr>
            <w:r w:rsidRPr="00EA1C22">
              <w:t>Powierzchnia użytkowa lokalu mieszkalnego albo domu jednorodzinnego</w:t>
            </w:r>
          </w:p>
        </w:tc>
        <w:tc>
          <w:tcPr>
            <w:tcW w:w="5973" w:type="dxa"/>
            <w:gridSpan w:val="2"/>
          </w:tcPr>
          <w:p w:rsidR="00EA1C22" w:rsidRPr="00EA1C22" w:rsidRDefault="00EA1C22" w:rsidP="00EA1C22">
            <w:pPr>
              <w:spacing w:beforeLines="60" w:before="144" w:afterLines="60" w:after="144"/>
              <w:rPr>
                <w:b/>
              </w:rPr>
            </w:pPr>
          </w:p>
        </w:tc>
      </w:tr>
      <w:tr w:rsidR="00EA1C22" w:rsidRPr="00EA1C22" w:rsidTr="002568E5">
        <w:tc>
          <w:tcPr>
            <w:tcW w:w="3071" w:type="dxa"/>
            <w:tcBorders>
              <w:bottom w:val="single" w:sz="4" w:space="0" w:color="auto"/>
            </w:tcBorders>
            <w:shd w:val="clear" w:color="auto" w:fill="F2F2F2"/>
          </w:tcPr>
          <w:p w:rsidR="00EA1C22" w:rsidRPr="00EA1C22" w:rsidRDefault="00EA1C22" w:rsidP="00EA1C22">
            <w:pPr>
              <w:spacing w:beforeLines="60" w:before="144" w:afterLines="60" w:after="144"/>
              <w:jc w:val="both"/>
            </w:pPr>
            <w:r w:rsidRPr="00EA1C22">
              <w:t>Cena m</w:t>
            </w:r>
            <w:r w:rsidRPr="00EA1C22">
              <w:rPr>
                <w:vertAlign w:val="superscript"/>
              </w:rPr>
              <w:t>2</w:t>
            </w:r>
            <w:r w:rsidRPr="00EA1C22">
              <w:t xml:space="preserve"> powierzchni użytkowej lokalu mieszkalnego albo domu jednorodzinnego</w:t>
            </w:r>
          </w:p>
        </w:tc>
        <w:tc>
          <w:tcPr>
            <w:tcW w:w="5973" w:type="dxa"/>
            <w:gridSpan w:val="2"/>
          </w:tcPr>
          <w:p w:rsidR="00EA1C22" w:rsidRPr="00EA1C22" w:rsidRDefault="00EA1C22" w:rsidP="00EA1C22">
            <w:pPr>
              <w:spacing w:beforeLines="60" w:before="144" w:afterLines="60" w:after="144"/>
              <w:rPr>
                <w:b/>
              </w:rPr>
            </w:pPr>
          </w:p>
        </w:tc>
      </w:tr>
      <w:tr w:rsidR="00EA1C22" w:rsidRPr="00EA1C22" w:rsidTr="00EF63EF">
        <w:tc>
          <w:tcPr>
            <w:tcW w:w="3071" w:type="dxa"/>
            <w:tcBorders>
              <w:bottom w:val="single" w:sz="4" w:space="0" w:color="auto"/>
            </w:tcBorders>
            <w:shd w:val="clear" w:color="auto" w:fill="F2F2F2"/>
          </w:tcPr>
          <w:p w:rsidR="00EA1C22" w:rsidRPr="00EA1C22" w:rsidRDefault="00EA1C22" w:rsidP="00FD125F">
            <w:pPr>
              <w:spacing w:beforeLines="60" w:before="144" w:afterLines="60" w:after="144"/>
              <w:jc w:val="both"/>
            </w:pPr>
            <w:r w:rsidRPr="00EA1C22">
              <w:t xml:space="preserve">Termin, do którego nastąpi przeniesienie prawa własności nieruchomości wynikającego z umowy deweloperskiej lub jednej z umów, o których mowa w art. 2 ust. 1 pkt 2, 3 lub 5 lub ust. 2 ustawy z dnia … o ochronie praw nabywcy lokalu mieszkalnego lub domu jednorodzinnego oraz o Deweloperskim Funduszu Gwarancyjnym </w:t>
            </w:r>
          </w:p>
        </w:tc>
        <w:tc>
          <w:tcPr>
            <w:tcW w:w="5973" w:type="dxa"/>
            <w:gridSpan w:val="2"/>
          </w:tcPr>
          <w:p w:rsidR="00EA1C22" w:rsidRPr="00EA1C22" w:rsidRDefault="00EA1C22" w:rsidP="00EA1C22">
            <w:pPr>
              <w:spacing w:beforeLines="60" w:before="144" w:afterLines="60" w:after="144"/>
              <w:rPr>
                <w:b/>
              </w:rPr>
            </w:pPr>
          </w:p>
        </w:tc>
      </w:tr>
      <w:tr w:rsidR="00EA1C22" w:rsidRPr="00EA1C22" w:rsidTr="00EF63EF">
        <w:tc>
          <w:tcPr>
            <w:tcW w:w="3071" w:type="dxa"/>
            <w:tcBorders>
              <w:bottom w:val="nil"/>
            </w:tcBorders>
            <w:shd w:val="clear" w:color="auto" w:fill="F2F2F2"/>
          </w:tcPr>
          <w:p w:rsidR="00EA1C22" w:rsidRPr="00EA1C22" w:rsidRDefault="00EA1C22" w:rsidP="00EA1C22">
            <w:pPr>
              <w:spacing w:beforeLines="60" w:before="144" w:afterLines="60" w:after="144"/>
              <w:jc w:val="both"/>
            </w:pPr>
            <w:r w:rsidRPr="00EA1C22">
              <w:t>Określenie położenia oraz istotnych cech domu jednorodzinnego albo budynku, w którym ma znajdować się lokal mieszkalny będący przedmiotem umowy rezerwacyjnej albo umowy deweloperskiej</w:t>
            </w:r>
            <w:r w:rsidR="00FD125F">
              <w:t>,</w:t>
            </w:r>
            <w:r w:rsidRPr="00EA1C22">
              <w:t xml:space="preserve"> albo umowy, o której mowa w art. 2 ust. 1 pkt 2, 3 lub 5 lub umów, o których mowa w art. 2 ust. 2 ustawy</w:t>
            </w:r>
            <w:r w:rsidR="00920895">
              <w:t xml:space="preserve"> </w:t>
            </w:r>
            <w:r w:rsidRPr="00EA1C22">
              <w:t>z dnia … o ochronie praw nabywcy lokalu mieszkalnego lub domu jednorodzinnego oraz o Deweloperskim Funduszu Gwarancyjnym</w:t>
            </w:r>
          </w:p>
        </w:tc>
        <w:tc>
          <w:tcPr>
            <w:tcW w:w="3069" w:type="dxa"/>
            <w:vMerge w:val="restart"/>
          </w:tcPr>
          <w:p w:rsidR="00EA1C22" w:rsidRPr="00EA1C22" w:rsidRDefault="00EA1C22" w:rsidP="00EA1C22">
            <w:pPr>
              <w:spacing w:beforeLines="60" w:before="144" w:afterLines="60" w:after="144"/>
            </w:pPr>
            <w:r w:rsidRPr="00EA1C22">
              <w:t>Liczba kondygnacji</w:t>
            </w:r>
          </w:p>
        </w:tc>
        <w:tc>
          <w:tcPr>
            <w:tcW w:w="2904" w:type="dxa"/>
            <w:vMerge w:val="restart"/>
          </w:tcPr>
          <w:p w:rsidR="00EA1C22" w:rsidRPr="00EA1C22" w:rsidRDefault="00EA1C22" w:rsidP="00EA1C22">
            <w:pPr>
              <w:spacing w:beforeLines="60" w:before="144" w:afterLines="60" w:after="144"/>
              <w:rPr>
                <w:b/>
              </w:rPr>
            </w:pPr>
          </w:p>
        </w:tc>
      </w:tr>
      <w:tr w:rsidR="00EA1C22" w:rsidRPr="00EA1C22" w:rsidTr="00A80C58">
        <w:trPr>
          <w:trHeight w:val="56"/>
        </w:trPr>
        <w:tc>
          <w:tcPr>
            <w:tcW w:w="3071" w:type="dxa"/>
            <w:tcBorders>
              <w:top w:val="nil"/>
              <w:bottom w:val="nil"/>
            </w:tcBorders>
            <w:shd w:val="clear" w:color="auto" w:fill="F2F2F2"/>
          </w:tcPr>
          <w:p w:rsidR="00EA1C22" w:rsidRPr="00EA1C22" w:rsidRDefault="00EA1C22" w:rsidP="00EA1C22">
            <w:pPr>
              <w:spacing w:beforeLines="60" w:before="144" w:afterLines="60" w:after="144"/>
              <w:rPr>
                <w:b/>
              </w:rPr>
            </w:pPr>
          </w:p>
        </w:tc>
        <w:tc>
          <w:tcPr>
            <w:tcW w:w="3069" w:type="dxa"/>
            <w:vMerge/>
          </w:tcPr>
          <w:p w:rsidR="00EA1C22" w:rsidRPr="00EA1C22" w:rsidRDefault="00EA1C22" w:rsidP="00EA1C22">
            <w:pPr>
              <w:spacing w:beforeLines="60" w:before="144" w:afterLines="60" w:after="144"/>
            </w:pPr>
          </w:p>
        </w:tc>
        <w:tc>
          <w:tcPr>
            <w:tcW w:w="2904" w:type="dxa"/>
            <w:vMerge/>
          </w:tcPr>
          <w:p w:rsidR="00EA1C22" w:rsidRPr="00EA1C22" w:rsidRDefault="00EA1C22" w:rsidP="00EA1C22">
            <w:pPr>
              <w:spacing w:beforeLines="60" w:before="144" w:afterLines="60" w:after="144"/>
              <w:rPr>
                <w:b/>
              </w:rPr>
            </w:pPr>
          </w:p>
        </w:tc>
      </w:tr>
      <w:tr w:rsidR="00EA1C22" w:rsidRPr="00EA1C22" w:rsidTr="00A80C58">
        <w:tc>
          <w:tcPr>
            <w:tcW w:w="3071" w:type="dxa"/>
            <w:tcBorders>
              <w:top w:val="nil"/>
              <w:bottom w:val="single" w:sz="4" w:space="0" w:color="auto"/>
            </w:tcBorders>
            <w:shd w:val="clear" w:color="auto" w:fill="F2F2F2"/>
          </w:tcPr>
          <w:p w:rsidR="00EA1C22" w:rsidRPr="00EA1C22" w:rsidRDefault="00EA1C22" w:rsidP="00EA1C22">
            <w:pPr>
              <w:spacing w:beforeLines="60" w:before="144" w:afterLines="60" w:after="144"/>
              <w:rPr>
                <w:b/>
              </w:rPr>
            </w:pPr>
          </w:p>
        </w:tc>
        <w:tc>
          <w:tcPr>
            <w:tcW w:w="3069" w:type="dxa"/>
          </w:tcPr>
          <w:p w:rsidR="00EA1C22" w:rsidRPr="00EA1C22" w:rsidRDefault="00EA1C22" w:rsidP="00EA1C22">
            <w:pPr>
              <w:spacing w:beforeLines="60" w:before="144" w:afterLines="60" w:after="144"/>
            </w:pPr>
            <w:r w:rsidRPr="00EA1C22">
              <w:t xml:space="preserve">Technologia wykonania </w:t>
            </w:r>
          </w:p>
        </w:tc>
        <w:tc>
          <w:tcPr>
            <w:tcW w:w="2904" w:type="dxa"/>
          </w:tcPr>
          <w:p w:rsidR="00EA1C22" w:rsidRPr="00EA1C22" w:rsidRDefault="00EA1C22" w:rsidP="00EA1C22">
            <w:pPr>
              <w:spacing w:beforeLines="60" w:before="144" w:afterLines="60" w:after="144"/>
              <w:rPr>
                <w:b/>
              </w:rPr>
            </w:pPr>
          </w:p>
        </w:tc>
      </w:tr>
      <w:tr w:rsidR="00EA1C22" w:rsidRPr="00EA1C22" w:rsidTr="00A80C58">
        <w:tc>
          <w:tcPr>
            <w:tcW w:w="3071" w:type="dxa"/>
            <w:tcBorders>
              <w:top w:val="single" w:sz="4" w:space="0" w:color="auto"/>
              <w:bottom w:val="nil"/>
            </w:tcBorders>
            <w:shd w:val="clear" w:color="auto" w:fill="F2F2F2"/>
          </w:tcPr>
          <w:p w:rsidR="00EA1C22" w:rsidRPr="00EA1C22" w:rsidRDefault="00EA1C22" w:rsidP="00EA1C22">
            <w:pPr>
              <w:spacing w:beforeLines="60" w:before="144" w:afterLines="60" w:after="144"/>
              <w:rPr>
                <w:b/>
              </w:rPr>
            </w:pPr>
          </w:p>
        </w:tc>
        <w:tc>
          <w:tcPr>
            <w:tcW w:w="3069" w:type="dxa"/>
          </w:tcPr>
          <w:p w:rsidR="00EA1C22" w:rsidRPr="00EA1C22" w:rsidRDefault="00EA1C22" w:rsidP="00EA1C22">
            <w:pPr>
              <w:spacing w:beforeLines="60" w:before="144" w:afterLines="60" w:after="144"/>
            </w:pPr>
            <w:r w:rsidRPr="00EA1C22">
              <w:t>Standard prac wykończeniowych w części wspólnej budynku i terenie wokół niego, stanowiącym część wspólną nieruchomości</w:t>
            </w:r>
          </w:p>
        </w:tc>
        <w:tc>
          <w:tcPr>
            <w:tcW w:w="2904" w:type="dxa"/>
          </w:tcPr>
          <w:p w:rsidR="00EA1C22" w:rsidRPr="00EA1C22" w:rsidRDefault="00EA1C22" w:rsidP="00EA1C22">
            <w:pPr>
              <w:spacing w:beforeLines="60" w:before="144" w:afterLines="60" w:after="144"/>
              <w:rPr>
                <w:b/>
              </w:rPr>
            </w:pPr>
          </w:p>
        </w:tc>
      </w:tr>
      <w:tr w:rsidR="00EA1C22" w:rsidRPr="00EA1C22" w:rsidTr="002568E5">
        <w:tc>
          <w:tcPr>
            <w:tcW w:w="3071" w:type="dxa"/>
            <w:tcBorders>
              <w:top w:val="nil"/>
              <w:bottom w:val="nil"/>
            </w:tcBorders>
            <w:shd w:val="clear" w:color="auto" w:fill="F2F2F2"/>
          </w:tcPr>
          <w:p w:rsidR="00EA1C22" w:rsidRPr="00EA1C22" w:rsidRDefault="00EA1C22" w:rsidP="00EA1C22">
            <w:pPr>
              <w:spacing w:beforeLines="60" w:before="144" w:afterLines="60" w:after="144"/>
              <w:rPr>
                <w:b/>
              </w:rPr>
            </w:pPr>
          </w:p>
        </w:tc>
        <w:tc>
          <w:tcPr>
            <w:tcW w:w="3069" w:type="dxa"/>
          </w:tcPr>
          <w:p w:rsidR="00EA1C22" w:rsidRPr="00EA1C22" w:rsidRDefault="00EA1C22" w:rsidP="00EA1C22">
            <w:pPr>
              <w:spacing w:beforeLines="60" w:before="144" w:afterLines="60" w:after="144"/>
            </w:pPr>
            <w:r w:rsidRPr="00EA1C22">
              <w:t>Liczba lokali w budynku</w:t>
            </w:r>
          </w:p>
        </w:tc>
        <w:tc>
          <w:tcPr>
            <w:tcW w:w="2904" w:type="dxa"/>
          </w:tcPr>
          <w:p w:rsidR="00EA1C22" w:rsidRPr="00EA1C22" w:rsidRDefault="00EA1C22" w:rsidP="00EA1C22">
            <w:pPr>
              <w:spacing w:beforeLines="60" w:before="144" w:afterLines="60" w:after="144"/>
              <w:rPr>
                <w:b/>
              </w:rPr>
            </w:pPr>
          </w:p>
        </w:tc>
      </w:tr>
      <w:tr w:rsidR="00EA1C22" w:rsidRPr="00EA1C22" w:rsidTr="002568E5">
        <w:tc>
          <w:tcPr>
            <w:tcW w:w="3071" w:type="dxa"/>
            <w:tcBorders>
              <w:top w:val="nil"/>
              <w:bottom w:val="nil"/>
            </w:tcBorders>
            <w:shd w:val="clear" w:color="auto" w:fill="F2F2F2"/>
          </w:tcPr>
          <w:p w:rsidR="00EA1C22" w:rsidRPr="00EA1C22" w:rsidRDefault="00EA1C22" w:rsidP="00EA1C22">
            <w:pPr>
              <w:spacing w:beforeLines="60" w:before="144" w:afterLines="60" w:after="144"/>
              <w:rPr>
                <w:b/>
              </w:rPr>
            </w:pPr>
          </w:p>
        </w:tc>
        <w:tc>
          <w:tcPr>
            <w:tcW w:w="3069" w:type="dxa"/>
          </w:tcPr>
          <w:p w:rsidR="00EA1C22" w:rsidRPr="00EA1C22" w:rsidRDefault="00EA1C22" w:rsidP="00EA1C22">
            <w:pPr>
              <w:spacing w:beforeLines="60" w:before="144" w:afterLines="60" w:after="144"/>
            </w:pPr>
            <w:r w:rsidRPr="00EA1C22">
              <w:t>Liczba miejsc garażowych i postojowych</w:t>
            </w:r>
          </w:p>
        </w:tc>
        <w:tc>
          <w:tcPr>
            <w:tcW w:w="2904" w:type="dxa"/>
          </w:tcPr>
          <w:p w:rsidR="00EA1C22" w:rsidRPr="00EA1C22" w:rsidRDefault="00EA1C22" w:rsidP="00EA1C22">
            <w:pPr>
              <w:spacing w:beforeLines="60" w:before="144" w:afterLines="60" w:after="144"/>
              <w:rPr>
                <w:b/>
              </w:rPr>
            </w:pPr>
          </w:p>
        </w:tc>
      </w:tr>
      <w:tr w:rsidR="00EA1C22" w:rsidRPr="00EA1C22" w:rsidTr="002568E5">
        <w:tc>
          <w:tcPr>
            <w:tcW w:w="3071" w:type="dxa"/>
            <w:tcBorders>
              <w:top w:val="nil"/>
              <w:bottom w:val="nil"/>
            </w:tcBorders>
            <w:shd w:val="clear" w:color="auto" w:fill="F2F2F2"/>
          </w:tcPr>
          <w:p w:rsidR="00EA1C22" w:rsidRPr="00EA1C22" w:rsidRDefault="00EA1C22" w:rsidP="00EA1C22">
            <w:pPr>
              <w:spacing w:beforeLines="60" w:before="144" w:afterLines="60" w:after="144"/>
              <w:rPr>
                <w:b/>
              </w:rPr>
            </w:pPr>
          </w:p>
        </w:tc>
        <w:tc>
          <w:tcPr>
            <w:tcW w:w="3069" w:type="dxa"/>
          </w:tcPr>
          <w:p w:rsidR="00EA1C22" w:rsidRPr="00EA1C22" w:rsidRDefault="00EA1C22" w:rsidP="00EA1C22">
            <w:pPr>
              <w:spacing w:beforeLines="60" w:before="144" w:afterLines="60" w:after="144"/>
            </w:pPr>
            <w:r w:rsidRPr="00EA1C22">
              <w:t>Dostępne media w budynku</w:t>
            </w:r>
          </w:p>
        </w:tc>
        <w:tc>
          <w:tcPr>
            <w:tcW w:w="2904" w:type="dxa"/>
          </w:tcPr>
          <w:p w:rsidR="00EA1C22" w:rsidRPr="00EA1C22" w:rsidRDefault="00EA1C22" w:rsidP="00EA1C22">
            <w:pPr>
              <w:spacing w:beforeLines="60" w:before="144" w:afterLines="60" w:after="144"/>
              <w:rPr>
                <w:b/>
              </w:rPr>
            </w:pPr>
          </w:p>
        </w:tc>
      </w:tr>
      <w:tr w:rsidR="00EA1C22" w:rsidRPr="00EA1C22" w:rsidTr="002568E5">
        <w:tc>
          <w:tcPr>
            <w:tcW w:w="3071" w:type="dxa"/>
            <w:tcBorders>
              <w:top w:val="nil"/>
              <w:bottom w:val="single" w:sz="4" w:space="0" w:color="auto"/>
            </w:tcBorders>
            <w:shd w:val="clear" w:color="auto" w:fill="F2F2F2"/>
          </w:tcPr>
          <w:p w:rsidR="00EA1C22" w:rsidRPr="00EA1C22" w:rsidRDefault="00EA1C22" w:rsidP="00EA1C22">
            <w:pPr>
              <w:spacing w:beforeLines="60" w:before="144" w:afterLines="60" w:after="144"/>
              <w:rPr>
                <w:b/>
              </w:rPr>
            </w:pPr>
          </w:p>
        </w:tc>
        <w:tc>
          <w:tcPr>
            <w:tcW w:w="3069" w:type="dxa"/>
          </w:tcPr>
          <w:p w:rsidR="00EA1C22" w:rsidRPr="00EA1C22" w:rsidRDefault="00EA1C22" w:rsidP="00EA1C22">
            <w:pPr>
              <w:spacing w:beforeLines="60" w:before="144" w:afterLines="60" w:after="144"/>
            </w:pPr>
            <w:r w:rsidRPr="00EA1C22">
              <w:t>Dostęp do drogi publicznej</w:t>
            </w:r>
          </w:p>
        </w:tc>
        <w:tc>
          <w:tcPr>
            <w:tcW w:w="2904" w:type="dxa"/>
          </w:tcPr>
          <w:p w:rsidR="00EA1C22" w:rsidRPr="00EA1C22" w:rsidRDefault="00EA1C22" w:rsidP="00EA1C22">
            <w:pPr>
              <w:spacing w:beforeLines="60" w:before="144" w:afterLines="60" w:after="144"/>
              <w:rPr>
                <w:b/>
              </w:rPr>
            </w:pPr>
          </w:p>
        </w:tc>
      </w:tr>
      <w:tr w:rsidR="00EA1C22" w:rsidRPr="00EA1C22" w:rsidTr="002568E5">
        <w:tc>
          <w:tcPr>
            <w:tcW w:w="3071" w:type="dxa"/>
            <w:tcBorders>
              <w:top w:val="single" w:sz="4" w:space="0" w:color="auto"/>
              <w:bottom w:val="single" w:sz="4" w:space="0" w:color="auto"/>
            </w:tcBorders>
            <w:shd w:val="clear" w:color="auto" w:fill="F2F2F2"/>
          </w:tcPr>
          <w:p w:rsidR="00EA1C22" w:rsidRPr="00EA1C22" w:rsidRDefault="00EA1C22" w:rsidP="00EA1C22">
            <w:pPr>
              <w:spacing w:beforeLines="60" w:before="144" w:afterLines="60" w:after="144"/>
              <w:jc w:val="both"/>
            </w:pPr>
            <w:r w:rsidRPr="00EA1C22">
              <w:t>Określenie usytuowania lokalu mieszkalnego w budynku, jeżeli przedsięwzięcie deweloperskie albo zadanie inwestycyjne dotyczy lokali mieszkalnych</w:t>
            </w:r>
          </w:p>
        </w:tc>
        <w:tc>
          <w:tcPr>
            <w:tcW w:w="5973" w:type="dxa"/>
            <w:gridSpan w:val="2"/>
          </w:tcPr>
          <w:p w:rsidR="00EA1C22" w:rsidRPr="00EA1C22" w:rsidRDefault="00EA1C22" w:rsidP="00EA1C22">
            <w:pPr>
              <w:spacing w:beforeLines="60" w:before="144" w:afterLines="60" w:after="144"/>
              <w:rPr>
                <w:b/>
              </w:rPr>
            </w:pPr>
          </w:p>
        </w:tc>
      </w:tr>
      <w:tr w:rsidR="00EA1C22" w:rsidRPr="00EA1C22" w:rsidTr="002568E5">
        <w:tc>
          <w:tcPr>
            <w:tcW w:w="3071" w:type="dxa"/>
            <w:tcBorders>
              <w:top w:val="single" w:sz="4" w:space="0" w:color="auto"/>
              <w:bottom w:val="single" w:sz="4" w:space="0" w:color="auto"/>
            </w:tcBorders>
            <w:shd w:val="clear" w:color="auto" w:fill="F2F2F2"/>
          </w:tcPr>
          <w:p w:rsidR="00EA1C22" w:rsidRPr="00EA1C22" w:rsidRDefault="00EA1C22" w:rsidP="00EA1C22">
            <w:pPr>
              <w:spacing w:beforeLines="60" w:before="144" w:afterLines="60" w:after="144"/>
              <w:jc w:val="both"/>
            </w:pPr>
            <w:r w:rsidRPr="00EA1C22">
              <w:t>Określenie powierzchni użytkowej</w:t>
            </w:r>
            <w:r w:rsidR="00920895">
              <w:t xml:space="preserve"> </w:t>
            </w:r>
            <w:r w:rsidRPr="00EA1C22">
              <w:t>i układu pomieszczeń oraz zakresu i standardu prac wykończeniowych, do których wykonania zobowiązuje się deweloper</w:t>
            </w:r>
          </w:p>
        </w:tc>
        <w:tc>
          <w:tcPr>
            <w:tcW w:w="5973" w:type="dxa"/>
            <w:gridSpan w:val="2"/>
          </w:tcPr>
          <w:p w:rsidR="00EA1C22" w:rsidRPr="00EA1C22" w:rsidRDefault="00EA1C22" w:rsidP="00EA1C22">
            <w:pPr>
              <w:spacing w:beforeLines="60" w:before="144" w:afterLines="60" w:after="144"/>
              <w:rPr>
                <w:b/>
              </w:rPr>
            </w:pPr>
          </w:p>
        </w:tc>
      </w:tr>
      <w:tr w:rsidR="00EA1C22" w:rsidRPr="00EA1C22" w:rsidTr="002568E5">
        <w:trPr>
          <w:trHeight w:val="1035"/>
        </w:trPr>
        <w:tc>
          <w:tcPr>
            <w:tcW w:w="3071" w:type="dxa"/>
            <w:tcBorders>
              <w:top w:val="single" w:sz="4" w:space="0" w:color="auto"/>
              <w:bottom w:val="single" w:sz="4" w:space="0" w:color="auto"/>
            </w:tcBorders>
            <w:shd w:val="clear" w:color="auto" w:fill="F2F2F2"/>
          </w:tcPr>
          <w:p w:rsidR="00EA1C22" w:rsidRPr="00EA1C22" w:rsidRDefault="00EA1C22" w:rsidP="00FD125F">
            <w:pPr>
              <w:widowControl w:val="0"/>
              <w:autoSpaceDE w:val="0"/>
              <w:autoSpaceDN w:val="0"/>
              <w:adjustRightInd w:val="0"/>
              <w:spacing w:beforeLines="60" w:before="144" w:afterLines="60" w:after="144"/>
            </w:pPr>
            <w:r w:rsidRPr="00EA1C22">
              <w:t>Data wydania zaświadczenia o samodzielności lokalu mieszkalnego</w:t>
            </w:r>
          </w:p>
        </w:tc>
        <w:tc>
          <w:tcPr>
            <w:tcW w:w="5973" w:type="dxa"/>
            <w:gridSpan w:val="2"/>
          </w:tcPr>
          <w:p w:rsidR="00EA1C22" w:rsidRPr="00EA1C22" w:rsidRDefault="00EA1C22" w:rsidP="00EA1C22">
            <w:pPr>
              <w:spacing w:beforeLines="60" w:before="144" w:afterLines="60" w:after="144"/>
              <w:rPr>
                <w:b/>
              </w:rPr>
            </w:pPr>
          </w:p>
        </w:tc>
      </w:tr>
      <w:tr w:rsidR="00EA1C22" w:rsidRPr="00EA1C22" w:rsidTr="002568E5">
        <w:trPr>
          <w:trHeight w:val="1050"/>
        </w:trPr>
        <w:tc>
          <w:tcPr>
            <w:tcW w:w="3071" w:type="dxa"/>
            <w:tcBorders>
              <w:top w:val="single" w:sz="4" w:space="0" w:color="auto"/>
              <w:bottom w:val="single" w:sz="4" w:space="0" w:color="auto"/>
            </w:tcBorders>
            <w:shd w:val="clear" w:color="auto" w:fill="F2F2F2"/>
          </w:tcPr>
          <w:p w:rsidR="00EA1C22" w:rsidRPr="00EA1C22" w:rsidRDefault="00EA1C22" w:rsidP="00FD125F">
            <w:pPr>
              <w:widowControl w:val="0"/>
              <w:autoSpaceDE w:val="0"/>
              <w:autoSpaceDN w:val="0"/>
              <w:adjustRightInd w:val="0"/>
              <w:spacing w:beforeLines="60" w:before="144" w:afterLines="60" w:after="144"/>
            </w:pPr>
            <w:r w:rsidRPr="00EA1C22">
              <w:t>Data ustanowienia odrębnej własności lokalu mieszkalnego</w:t>
            </w:r>
          </w:p>
        </w:tc>
        <w:tc>
          <w:tcPr>
            <w:tcW w:w="5973" w:type="dxa"/>
            <w:gridSpan w:val="2"/>
          </w:tcPr>
          <w:p w:rsidR="00EA1C22" w:rsidRPr="00EA1C22" w:rsidRDefault="00EA1C22" w:rsidP="00EA1C22">
            <w:pPr>
              <w:spacing w:beforeLines="60" w:before="144" w:afterLines="60" w:after="144"/>
              <w:rPr>
                <w:b/>
              </w:rPr>
            </w:pPr>
          </w:p>
        </w:tc>
      </w:tr>
      <w:tr w:rsidR="00EA1C22" w:rsidRPr="00EA1C22" w:rsidTr="002568E5">
        <w:tc>
          <w:tcPr>
            <w:tcW w:w="3071" w:type="dxa"/>
            <w:tcBorders>
              <w:top w:val="single" w:sz="4" w:space="0" w:color="auto"/>
              <w:bottom w:val="single" w:sz="4" w:space="0" w:color="auto"/>
            </w:tcBorders>
            <w:shd w:val="clear" w:color="auto" w:fill="F2F2F2"/>
          </w:tcPr>
          <w:p w:rsidR="00EA1C22" w:rsidRPr="00EA1C22" w:rsidRDefault="00EA1C22" w:rsidP="00EA1C22">
            <w:pPr>
              <w:spacing w:beforeLines="60" w:before="144" w:afterLines="60" w:after="144"/>
              <w:jc w:val="both"/>
            </w:pPr>
            <w:r w:rsidRPr="00EA1C22">
              <w:t>Informacje o lokalu użytkowym</w:t>
            </w:r>
            <w:r w:rsidR="00920895">
              <w:t xml:space="preserve"> </w:t>
            </w:r>
            <w:r w:rsidRPr="00EA1C22">
              <w:t>nabywanym równocześnie z lokalem mieszkalnym albo domem jednorodzinnym</w:t>
            </w:r>
          </w:p>
        </w:tc>
        <w:tc>
          <w:tcPr>
            <w:tcW w:w="5973" w:type="dxa"/>
            <w:gridSpan w:val="2"/>
          </w:tcPr>
          <w:p w:rsidR="00EA1C22" w:rsidRPr="00EA1C22" w:rsidRDefault="00EA1C22" w:rsidP="00EA1C22">
            <w:pPr>
              <w:spacing w:beforeLines="60" w:before="144" w:afterLines="60" w:after="144"/>
              <w:rPr>
                <w:b/>
              </w:rPr>
            </w:pPr>
          </w:p>
        </w:tc>
      </w:tr>
      <w:tr w:rsidR="00EA1C22" w:rsidRPr="00EA1C22" w:rsidTr="002568E5">
        <w:tc>
          <w:tcPr>
            <w:tcW w:w="3071" w:type="dxa"/>
            <w:tcBorders>
              <w:top w:val="single" w:sz="4" w:space="0" w:color="auto"/>
              <w:bottom w:val="single" w:sz="4" w:space="0" w:color="auto"/>
            </w:tcBorders>
            <w:shd w:val="clear" w:color="auto" w:fill="F2F2F2"/>
          </w:tcPr>
          <w:p w:rsidR="00EA1C22" w:rsidRPr="00EA1C22" w:rsidRDefault="00EA1C22" w:rsidP="00EA1C22">
            <w:pPr>
              <w:spacing w:beforeLines="60" w:before="144" w:afterLines="60" w:after="144"/>
              <w:jc w:val="both"/>
            </w:pPr>
            <w:r w:rsidRPr="00EA1C22">
              <w:t>Cenę lokalu użytkowego albo</w:t>
            </w:r>
            <w:r w:rsidR="00920895">
              <w:t xml:space="preserve"> </w:t>
            </w:r>
            <w:r w:rsidRPr="00EA1C22">
              <w:t xml:space="preserve">ułamkowej części własności lokalu użytkowego </w:t>
            </w:r>
          </w:p>
        </w:tc>
        <w:tc>
          <w:tcPr>
            <w:tcW w:w="5973" w:type="dxa"/>
            <w:gridSpan w:val="2"/>
          </w:tcPr>
          <w:p w:rsidR="00EA1C22" w:rsidRPr="00EA1C22" w:rsidRDefault="00EA1C22" w:rsidP="00EA1C22">
            <w:pPr>
              <w:spacing w:beforeLines="60" w:before="144" w:afterLines="60" w:after="144"/>
              <w:rPr>
                <w:b/>
              </w:rPr>
            </w:pPr>
          </w:p>
        </w:tc>
      </w:tr>
      <w:tr w:rsidR="00EA1C22" w:rsidRPr="00EA1C22" w:rsidTr="002568E5">
        <w:tc>
          <w:tcPr>
            <w:tcW w:w="3071" w:type="dxa"/>
            <w:tcBorders>
              <w:top w:val="single" w:sz="4" w:space="0" w:color="auto"/>
              <w:bottom w:val="single" w:sz="4" w:space="0" w:color="auto"/>
            </w:tcBorders>
            <w:shd w:val="clear" w:color="auto" w:fill="F2F2F2"/>
          </w:tcPr>
          <w:p w:rsidR="00EA1C22" w:rsidRPr="00EA1C22" w:rsidRDefault="00EA1C22" w:rsidP="00EA1C22">
            <w:pPr>
              <w:spacing w:beforeLines="60" w:before="144" w:afterLines="60" w:after="144"/>
              <w:jc w:val="both"/>
            </w:pPr>
            <w:r w:rsidRPr="00EA1C22">
              <w:t>Termin, do którego nastąpi przeniesienie prawa własności lokalu użytkowego albo ułamkowej części własności lokalu użytkowego</w:t>
            </w:r>
          </w:p>
        </w:tc>
        <w:tc>
          <w:tcPr>
            <w:tcW w:w="5973" w:type="dxa"/>
            <w:gridSpan w:val="2"/>
          </w:tcPr>
          <w:p w:rsidR="00EA1C22" w:rsidRPr="00EA1C22" w:rsidRDefault="00EA1C22" w:rsidP="00EA1C22">
            <w:pPr>
              <w:spacing w:beforeLines="60" w:before="144" w:afterLines="60" w:after="144"/>
              <w:rPr>
                <w:b/>
              </w:rPr>
            </w:pPr>
          </w:p>
        </w:tc>
      </w:tr>
    </w:tbl>
    <w:p w:rsidR="00EA1C22" w:rsidRPr="00EA1C22" w:rsidRDefault="00EA1C22" w:rsidP="00EA1C22">
      <w:pPr>
        <w:spacing w:beforeLines="60" w:before="144" w:afterLines="60" w:after="144" w:line="240" w:lineRule="auto"/>
        <w:rPr>
          <w:rFonts w:ascii="Times New Roman" w:eastAsia="Times New Roman" w:hAnsi="Times New Roman" w:cs="Times New Roman"/>
          <w:b/>
          <w:sz w:val="20"/>
          <w:szCs w:val="20"/>
        </w:rPr>
      </w:pPr>
    </w:p>
    <w:p w:rsidR="00EA1C22" w:rsidRPr="00EA1C22" w:rsidRDefault="00EA1C22" w:rsidP="00EA1C22">
      <w:pPr>
        <w:spacing w:beforeLines="60" w:before="144" w:afterLines="60" w:after="144" w:line="240" w:lineRule="auto"/>
        <w:jc w:val="right"/>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Podpis osoby upoważnionej do reprezentacji dewelopera</w:t>
      </w:r>
    </w:p>
    <w:p w:rsidR="00920895" w:rsidRDefault="00920895" w:rsidP="00EA1C22">
      <w:pPr>
        <w:spacing w:beforeLines="60" w:before="144" w:afterLines="60" w:after="144" w:line="240" w:lineRule="auto"/>
        <w:jc w:val="right"/>
        <w:rPr>
          <w:rFonts w:ascii="Times New Roman" w:eastAsia="Times New Roman" w:hAnsi="Times New Roman" w:cs="Times New Roman"/>
          <w:b/>
          <w:sz w:val="20"/>
          <w:szCs w:val="20"/>
        </w:rPr>
      </w:pPr>
    </w:p>
    <w:p w:rsidR="00EA1C22" w:rsidRPr="00EA1C22" w:rsidRDefault="00EA1C22" w:rsidP="00EA1C22">
      <w:pPr>
        <w:spacing w:beforeLines="60" w:before="144" w:afterLines="60" w:after="144" w:line="240" w:lineRule="auto"/>
        <w:jc w:val="right"/>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noProof/>
          <w:sz w:val="20"/>
          <w:szCs w:val="20"/>
          <w:lang w:eastAsia="pl-PL"/>
        </w:rPr>
        <mc:AlternateContent>
          <mc:Choice Requires="wps">
            <w:drawing>
              <wp:anchor distT="0" distB="0" distL="114300" distR="114300" simplePos="0" relativeHeight="251660288" behindDoc="0" locked="0" layoutInCell="1" allowOverlap="1" wp14:anchorId="3DD5D02F" wp14:editId="4EA068C6">
                <wp:simplePos x="0" y="0"/>
                <wp:positionH relativeFrom="column">
                  <wp:posOffset>-800100</wp:posOffset>
                </wp:positionH>
                <wp:positionV relativeFrom="paragraph">
                  <wp:posOffset>10160</wp:posOffset>
                </wp:positionV>
                <wp:extent cx="7543800" cy="0"/>
                <wp:effectExtent l="17145" t="16510" r="20955" b="21590"/>
                <wp:wrapNone/>
                <wp:docPr id="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43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F5B6CDC" id="Line 20"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pt" to="53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" strokeweight="2.25pt"/>
            </w:pict>
          </mc:Fallback>
        </mc:AlternateConten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Załączniki:</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1. Rzut kondygnacji z zaznaczeniem lokalu mieszkalnego.</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2. Wzór umowy deweloperskiej lub umowy, o której mowa w art. 2 ust. 1 pkt 2, 3 lub 5 ustawy z dnia …</w:t>
      </w:r>
      <w:r w:rsidR="00920895">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o ochronie praw nabywcy lokalu mieszkalnego lub domu jednorodzinnego oraz o Deweloperskim Funduszu Gwarancyjnym.</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3. Szkic koncepcji zagospodarowania terenu inwestycji i jego otoczenia z zaznaczeniem budynku oraz istotnych uwarunkowań lokalizacji inwestycji wynikających z przepisów odrębnych oraz z istniejącego i planowanego stanu użytkowania terenów sąsiednich (np. z funkcji terenu, stref ochronnych, uciążliwości). </w:t>
      </w:r>
    </w:p>
    <w:p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noProof/>
          <w:sz w:val="20"/>
          <w:szCs w:val="20"/>
          <w:lang w:eastAsia="pl-PL"/>
        </w:rPr>
        <mc:AlternateContent>
          <mc:Choice Requires="wps">
            <w:drawing>
              <wp:anchor distT="0" distB="0" distL="114300" distR="114300" simplePos="0" relativeHeight="251661312" behindDoc="0" locked="0" layoutInCell="1" allowOverlap="1" wp14:anchorId="7AE05BA1" wp14:editId="0C281851">
                <wp:simplePos x="0" y="0"/>
                <wp:positionH relativeFrom="column">
                  <wp:posOffset>-800100</wp:posOffset>
                </wp:positionH>
                <wp:positionV relativeFrom="paragraph">
                  <wp:posOffset>84455</wp:posOffset>
                </wp:positionV>
                <wp:extent cx="7543800" cy="0"/>
                <wp:effectExtent l="17145" t="19050" r="20955" b="19050"/>
                <wp:wrapNone/>
                <wp:docPr id="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43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2C4F7C6" id="Line 19"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65pt" to="531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iyOGwIAADQ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" strokeweight="2.25pt"/>
            </w:pict>
          </mc:Fallback>
        </mc:AlternateContent>
      </w:r>
    </w:p>
    <w:p w:rsidR="007F577D" w:rsidRDefault="007F577D"/>
    <w:sectPr w:rsidR="007F577D" w:rsidSect="00A80C58">
      <w:footerReference w:type="default" r:id="rId7"/>
      <w:footerReference w:type="first" r:id="rId8"/>
      <w:footnotePr>
        <w:numRestart w:val="eachPage"/>
      </w:footnotePr>
      <w:pgSz w:w="11906" w:h="16838"/>
      <w:pgMar w:top="1417" w:right="1417" w:bottom="1417" w:left="1417"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7E8" w:rsidRDefault="005F17E8" w:rsidP="00EA1C22">
      <w:pPr>
        <w:spacing w:after="0" w:line="240" w:lineRule="auto"/>
      </w:pPr>
      <w:r>
        <w:separator/>
      </w:r>
    </w:p>
  </w:endnote>
  <w:endnote w:type="continuationSeparator" w:id="0">
    <w:p w:rsidR="005F17E8" w:rsidRDefault="005F17E8" w:rsidP="00EA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PL">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071566"/>
      <w:docPartObj>
        <w:docPartGallery w:val="Page Numbers (Bottom of Page)"/>
        <w:docPartUnique/>
      </w:docPartObj>
    </w:sdtPr>
    <w:sdtEndPr>
      <w:rPr>
        <w:rFonts w:ascii="Times New Roman" w:hAnsi="Times New Roman" w:cs="Times New Roman"/>
        <w:sz w:val="24"/>
      </w:rPr>
    </w:sdtEndPr>
    <w:sdtContent>
      <w:p w:rsidR="00143535" w:rsidRPr="007E3E4D" w:rsidRDefault="00143535" w:rsidP="007E3E4D">
        <w:pPr>
          <w:pStyle w:val="Stopka"/>
          <w:jc w:val="center"/>
          <w:rPr>
            <w:rFonts w:ascii="Times New Roman" w:hAnsi="Times New Roman" w:cs="Times New Roman"/>
            <w:sz w:val="24"/>
          </w:rPr>
        </w:pPr>
        <w:r w:rsidRPr="00143535">
          <w:rPr>
            <w:rFonts w:ascii="Times New Roman" w:hAnsi="Times New Roman" w:cs="Times New Roman"/>
            <w:sz w:val="24"/>
          </w:rPr>
          <w:fldChar w:fldCharType="begin"/>
        </w:r>
        <w:r w:rsidRPr="00143535">
          <w:rPr>
            <w:rFonts w:ascii="Times New Roman" w:hAnsi="Times New Roman" w:cs="Times New Roman"/>
            <w:sz w:val="24"/>
          </w:rPr>
          <w:instrText>PAGE   \* MERGEFORMAT</w:instrText>
        </w:r>
        <w:r w:rsidRPr="00143535">
          <w:rPr>
            <w:rFonts w:ascii="Times New Roman" w:hAnsi="Times New Roman" w:cs="Times New Roman"/>
            <w:sz w:val="24"/>
          </w:rPr>
          <w:fldChar w:fldCharType="separate"/>
        </w:r>
        <w:r w:rsidR="00C13ECE">
          <w:rPr>
            <w:rFonts w:ascii="Times New Roman" w:hAnsi="Times New Roman" w:cs="Times New Roman"/>
            <w:noProof/>
            <w:sz w:val="24"/>
          </w:rPr>
          <w:t>3</w:t>
        </w:r>
        <w:r w:rsidRPr="00143535">
          <w:rPr>
            <w:rFonts w:ascii="Times New Roman" w:hAnsi="Times New Roman" w:cs="Times New Roman"/>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535" w:rsidRDefault="00143535">
    <w:pPr>
      <w:pStyle w:val="Stopka"/>
      <w:jc w:val="center"/>
    </w:pPr>
  </w:p>
  <w:p w:rsidR="00143535" w:rsidRDefault="001435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7E8" w:rsidRDefault="005F17E8" w:rsidP="00EA1C22">
      <w:pPr>
        <w:spacing w:after="0" w:line="240" w:lineRule="auto"/>
      </w:pPr>
      <w:r>
        <w:separator/>
      </w:r>
    </w:p>
  </w:footnote>
  <w:footnote w:type="continuationSeparator" w:id="0">
    <w:p w:rsidR="005F17E8" w:rsidRDefault="005F17E8" w:rsidP="00EA1C22">
      <w:pPr>
        <w:spacing w:after="0" w:line="240" w:lineRule="auto"/>
      </w:pPr>
      <w:r>
        <w:continuationSeparator/>
      </w:r>
    </w:p>
  </w:footnote>
  <w:footnote w:id="1">
    <w:p w:rsidR="00EA1C22" w:rsidRPr="009017DC" w:rsidRDefault="00EA1C22" w:rsidP="007E3E4D">
      <w:pPr>
        <w:pStyle w:val="Tekstprzypisudolnego"/>
        <w:ind w:left="284" w:hanging="284"/>
        <w:jc w:val="both"/>
        <w:rPr>
          <w:rFonts w:ascii="Times New Roman" w:hAnsi="Times New Roman"/>
          <w:sz w:val="18"/>
          <w:szCs w:val="18"/>
        </w:rPr>
      </w:pPr>
      <w:r w:rsidRPr="00BD376F">
        <w:rPr>
          <w:rStyle w:val="Odwoanieprzypisudolnego"/>
          <w:rFonts w:ascii="Times New Roman" w:hAnsi="Times New Roman"/>
          <w:sz w:val="18"/>
          <w:szCs w:val="18"/>
        </w:rPr>
        <w:t>1)</w:t>
      </w:r>
      <w:r w:rsidR="007E3E4D">
        <w:rPr>
          <w:rFonts w:ascii="Times New Roman" w:hAnsi="Times New Roman"/>
          <w:sz w:val="18"/>
          <w:szCs w:val="18"/>
        </w:rPr>
        <w:tab/>
      </w:r>
      <w:r w:rsidRPr="00BD376F">
        <w:rPr>
          <w:rFonts w:ascii="Times New Roman" w:hAnsi="Times New Roman"/>
          <w:sz w:val="18"/>
          <w:szCs w:val="18"/>
        </w:rPr>
        <w:t>J</w:t>
      </w:r>
      <w:r w:rsidRPr="009017DC">
        <w:rPr>
          <w:rFonts w:ascii="Times New Roman" w:hAnsi="Times New Roman"/>
          <w:sz w:val="18"/>
          <w:szCs w:val="18"/>
        </w:rPr>
        <w:t>eżeli działka nie posiada adresu, należy opisowo określić jej położenie</w:t>
      </w:r>
      <w:r>
        <w:rPr>
          <w:rFonts w:ascii="Times New Roman" w:hAnsi="Times New Roman"/>
          <w:sz w:val="18"/>
          <w:szCs w:val="18"/>
        </w:rPr>
        <w:t>.</w:t>
      </w:r>
    </w:p>
  </w:footnote>
  <w:footnote w:id="2">
    <w:p w:rsidR="00EA1C22" w:rsidRPr="00143535" w:rsidRDefault="00EA1C22" w:rsidP="00143535">
      <w:pPr>
        <w:pStyle w:val="Tekstprzypisudolnego"/>
        <w:ind w:left="284" w:hanging="284"/>
        <w:jc w:val="both"/>
        <w:rPr>
          <w:rFonts w:ascii="Times New Roman" w:hAnsi="Times New Roman" w:cs="Times New Roman"/>
          <w:sz w:val="18"/>
          <w:szCs w:val="18"/>
        </w:rPr>
      </w:pPr>
      <w:r w:rsidRPr="00143535">
        <w:rPr>
          <w:rStyle w:val="Odwoanieprzypisudolnego"/>
          <w:rFonts w:ascii="Times New Roman" w:hAnsi="Times New Roman"/>
          <w:sz w:val="18"/>
          <w:szCs w:val="18"/>
        </w:rPr>
        <w:t>2)</w:t>
      </w:r>
      <w:r w:rsidR="00143535">
        <w:rPr>
          <w:rFonts w:ascii="Times New Roman" w:hAnsi="Times New Roman" w:cs="Times New Roman"/>
          <w:sz w:val="18"/>
          <w:szCs w:val="18"/>
        </w:rPr>
        <w:tab/>
      </w:r>
      <w:r w:rsidRPr="00143535">
        <w:rPr>
          <w:rFonts w:ascii="Times New Roman" w:hAnsi="Times New Roman" w:cs="Times New Roman"/>
          <w:sz w:val="18"/>
          <w:szCs w:val="18"/>
        </w:rPr>
        <w:t>W szczególności imię i nazwisko albo firma właściciela lub użytkownika wieczystego oraz istniejące obciążenia na nieruchomości.</w:t>
      </w:r>
    </w:p>
  </w:footnote>
  <w:footnote w:id="3">
    <w:p w:rsidR="00EA1C22" w:rsidRPr="00143535" w:rsidRDefault="00EA1C22" w:rsidP="00143535">
      <w:pPr>
        <w:pStyle w:val="Tekstprzypisudolnego"/>
        <w:ind w:left="284" w:hanging="284"/>
        <w:jc w:val="both"/>
        <w:rPr>
          <w:rFonts w:ascii="Times New Roman" w:hAnsi="Times New Roman" w:cs="Times New Roman"/>
          <w:sz w:val="18"/>
          <w:szCs w:val="18"/>
        </w:rPr>
      </w:pPr>
      <w:r w:rsidRPr="00143535">
        <w:rPr>
          <w:rStyle w:val="Odwoanieprzypisudolnego"/>
          <w:rFonts w:ascii="Times New Roman" w:hAnsi="Times New Roman"/>
          <w:sz w:val="18"/>
          <w:szCs w:val="18"/>
        </w:rPr>
        <w:t>3)</w:t>
      </w:r>
      <w:r w:rsidR="00143535">
        <w:rPr>
          <w:rFonts w:ascii="Times New Roman" w:hAnsi="Times New Roman" w:cs="Times New Roman"/>
          <w:sz w:val="18"/>
          <w:szCs w:val="18"/>
        </w:rPr>
        <w:tab/>
      </w:r>
      <w:r w:rsidRPr="00143535">
        <w:rPr>
          <w:rFonts w:ascii="Times New Roman" w:hAnsi="Times New Roman" w:cs="Times New Roman"/>
          <w:sz w:val="18"/>
          <w:szCs w:val="18"/>
        </w:rPr>
        <w:t>W szczególności obiekty generujące uciążliwości zapachowe, hałasowe, świetlne.</w:t>
      </w:r>
    </w:p>
  </w:footnote>
  <w:footnote w:id="4">
    <w:p w:rsidR="00EA1C22" w:rsidRPr="00143535" w:rsidRDefault="00EA1C22" w:rsidP="00143535">
      <w:pPr>
        <w:spacing w:after="0" w:line="240" w:lineRule="auto"/>
        <w:ind w:left="284" w:hanging="284"/>
        <w:jc w:val="both"/>
        <w:rPr>
          <w:rFonts w:ascii="Times New Roman" w:hAnsi="Times New Roman" w:cs="Times New Roman"/>
          <w:sz w:val="18"/>
          <w:szCs w:val="18"/>
        </w:rPr>
      </w:pPr>
      <w:r w:rsidRPr="00143535">
        <w:rPr>
          <w:rStyle w:val="Odwoanieprzypisudolnego"/>
          <w:rFonts w:ascii="Times New Roman" w:hAnsi="Times New Roman"/>
          <w:sz w:val="18"/>
          <w:szCs w:val="18"/>
        </w:rPr>
        <w:t>4)</w:t>
      </w:r>
      <w:r w:rsidR="00143535">
        <w:rPr>
          <w:rFonts w:ascii="Times New Roman" w:hAnsi="Times New Roman" w:cs="Times New Roman"/>
          <w:sz w:val="18"/>
          <w:szCs w:val="18"/>
        </w:rPr>
        <w:tab/>
      </w:r>
      <w:r w:rsidRPr="00143535">
        <w:rPr>
          <w:rFonts w:ascii="Times New Roman" w:hAnsi="Times New Roman" w:cs="Times New Roman"/>
          <w:sz w:val="18"/>
          <w:szCs w:val="18"/>
        </w:rPr>
        <w:t>Akty prawne (rozporządzenia, zarządzenia, uchwały) w sprawie:</w:t>
      </w:r>
    </w:p>
    <w:p w:rsidR="00EA1C22" w:rsidRPr="00143535" w:rsidRDefault="00EA1C22"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dokonania rezerwacji obszaru inwestycji (CPK),</w:t>
      </w:r>
    </w:p>
    <w:p w:rsidR="00EA1C22" w:rsidRPr="00143535" w:rsidRDefault="00EA1C22"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lokalizacji inwestycji mieszkaniowej lub inwestycji towarzyszącej,</w:t>
      </w:r>
    </w:p>
    <w:p w:rsidR="00EA1C22" w:rsidRPr="00143535" w:rsidRDefault="00EA1C22"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w:t>
      </w:r>
    </w:p>
    <w:p w:rsidR="00EA1C22" w:rsidRPr="00143535" w:rsidRDefault="00EA1C22"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ustanowienia strefy ochronnej terenu ochrony bezpośredniej i terenu ochrony pośredniej ujęcia wody,</w:t>
      </w:r>
    </w:p>
    <w:p w:rsidR="00EA1C22" w:rsidRPr="00143535" w:rsidRDefault="00EA1C22"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wyznaczenia obszarów cichych w aglomeracji lub obszarów cichych poza aglomeracją,</w:t>
      </w:r>
    </w:p>
    <w:p w:rsidR="00EA1C22" w:rsidRPr="00143535" w:rsidRDefault="00EA1C22"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utworzenia obszaru ograniczonego użytkowania,</w:t>
      </w:r>
    </w:p>
    <w:p w:rsidR="00EA1C22" w:rsidRPr="00143535" w:rsidRDefault="00EA1C22"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uznania zabytku za pomnik historii,</w:t>
      </w:r>
    </w:p>
    <w:p w:rsidR="00EA1C22" w:rsidRPr="00143535" w:rsidRDefault="00EA1C22"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określenia granic obszaru Pomnika Zagłady i jego strefy ochronnej, utworzenia parku kulturowego,</w:t>
      </w:r>
    </w:p>
    <w:p w:rsidR="00EF63EF" w:rsidRPr="00A80C58" w:rsidRDefault="00EA1C22" w:rsidP="00356C04">
      <w:pPr>
        <w:pStyle w:val="Akapitzlist"/>
        <w:widowControl/>
        <w:numPr>
          <w:ilvl w:val="0"/>
          <w:numId w:val="5"/>
        </w:numPr>
        <w:autoSpaceDE/>
        <w:autoSpaceDN/>
        <w:adjustRightInd/>
        <w:spacing w:line="240" w:lineRule="auto"/>
        <w:ind w:left="567" w:hanging="283"/>
        <w:jc w:val="both"/>
        <w:rPr>
          <w:rFonts w:cs="Times New Roman"/>
          <w:sz w:val="18"/>
          <w:szCs w:val="18"/>
        </w:rPr>
      </w:pPr>
      <w:r w:rsidRPr="00A80C58">
        <w:rPr>
          <w:rFonts w:cs="Times New Roman"/>
          <w:sz w:val="18"/>
          <w:szCs w:val="18"/>
        </w:rPr>
        <w:t>ustalenia zasad i warunków sytuowania obiektów małej architektury, tablic reklamowych i urządzeń reklamowych oraz ogrodzeń, ich gabarytów, standardów jakościowych oraz rodzajów materiałów budowlanych.</w:t>
      </w:r>
    </w:p>
  </w:footnote>
  <w:footnote w:id="5">
    <w:p w:rsidR="00EA1C22" w:rsidRPr="00077623" w:rsidRDefault="00EA1C22" w:rsidP="00EA1C22">
      <w:pPr>
        <w:pStyle w:val="Tekstprzypisudolnego"/>
        <w:rPr>
          <w:rFonts w:ascii="Times New Roman" w:hAnsi="Times New Roman"/>
          <w:sz w:val="18"/>
          <w:szCs w:val="18"/>
        </w:rPr>
      </w:pPr>
      <w:r>
        <w:rPr>
          <w:rStyle w:val="Odwoanieprzypisudolnego"/>
        </w:rPr>
        <w:t>*</w:t>
      </w:r>
      <w:r>
        <w:t xml:space="preserve"> </w:t>
      </w:r>
      <w:r w:rsidRPr="00077623">
        <w:rPr>
          <w:rFonts w:ascii="Times New Roman" w:hAnsi="Times New Roman"/>
          <w:sz w:val="18"/>
          <w:szCs w:val="18"/>
        </w:rPr>
        <w:t>W przypadku braku miejscowego planu zagospodarowania przestrzennego umieszcza się informację „Brak planu”</w:t>
      </w:r>
      <w:r>
        <w:rPr>
          <w:rFonts w:ascii="Times New Roman" w:hAnsi="Times New Roman"/>
          <w:sz w:val="18"/>
          <w:szCs w:val="18"/>
        </w:rPr>
        <w:t>.</w:t>
      </w:r>
      <w:r w:rsidRPr="00077623">
        <w:rPr>
          <w:rFonts w:ascii="Times New Roman" w:hAnsi="Times New Roman"/>
          <w:sz w:val="18"/>
          <w:szCs w:val="18"/>
        </w:rPr>
        <w:t xml:space="preserve"> </w:t>
      </w:r>
    </w:p>
  </w:footnote>
  <w:footnote w:id="6">
    <w:p w:rsidR="00EA1C22" w:rsidRPr="008B0E61" w:rsidRDefault="00EA1C22" w:rsidP="007E3E4D">
      <w:pPr>
        <w:pStyle w:val="Tekstprzypisudolnego"/>
        <w:ind w:left="284" w:hanging="284"/>
        <w:jc w:val="both"/>
        <w:rPr>
          <w:rFonts w:ascii="Times New Roman" w:hAnsi="Times New Roman"/>
          <w:sz w:val="18"/>
          <w:szCs w:val="18"/>
        </w:rPr>
      </w:pPr>
      <w:r w:rsidRPr="008B0E61">
        <w:rPr>
          <w:rStyle w:val="Odwoanieprzypisudolnego"/>
          <w:rFonts w:ascii="Times New Roman" w:hAnsi="Times New Roman"/>
          <w:sz w:val="18"/>
          <w:szCs w:val="18"/>
        </w:rPr>
        <w:t>5)</w:t>
      </w:r>
      <w:r w:rsidR="007E3E4D">
        <w:rPr>
          <w:rFonts w:ascii="Times New Roman" w:hAnsi="Times New Roman"/>
          <w:sz w:val="18"/>
          <w:szCs w:val="18"/>
        </w:rPr>
        <w:tab/>
      </w:r>
      <w:r w:rsidRPr="008B0E61">
        <w:rPr>
          <w:rFonts w:ascii="Times New Roman" w:hAnsi="Times New Roman"/>
          <w:sz w:val="18"/>
          <w:szCs w:val="18"/>
        </w:rPr>
        <w:t>Wskazane inwestycje dotyczą w szczególności budowy lub rozbudowy dróg, budowy linii szynowych oraz przewidzianych korytarzy powietrznych, inwestycji komunalnych</w:t>
      </w:r>
      <w:r w:rsidR="0012739C">
        <w:rPr>
          <w:rFonts w:ascii="Times New Roman" w:hAnsi="Times New Roman"/>
          <w:sz w:val="18"/>
          <w:szCs w:val="18"/>
        </w:rPr>
        <w:t>,</w:t>
      </w:r>
      <w:r w:rsidRPr="008B0E61">
        <w:rPr>
          <w:rFonts w:ascii="Times New Roman" w:hAnsi="Times New Roman"/>
          <w:sz w:val="18"/>
          <w:szCs w:val="18"/>
        </w:rPr>
        <w:t xml:space="preserve"> takich jak: oczyszczalnie ścieków, spalarnie śmieci, wysypiska, cmentarze.</w:t>
      </w:r>
    </w:p>
  </w:footnote>
  <w:footnote w:id="7">
    <w:p w:rsidR="00EA1C22" w:rsidRPr="008B0E61" w:rsidRDefault="00EA1C22" w:rsidP="00EA1C22">
      <w:pPr>
        <w:pStyle w:val="Tekstprzypisudolnego"/>
        <w:rPr>
          <w:rFonts w:ascii="Times New Roman" w:hAnsi="Times New Roman"/>
          <w:sz w:val="18"/>
          <w:szCs w:val="18"/>
        </w:rPr>
      </w:pPr>
      <w:r w:rsidRPr="008B0E61">
        <w:rPr>
          <w:rStyle w:val="Odwoanieprzypisudolnego"/>
          <w:rFonts w:ascii="Times New Roman" w:hAnsi="Times New Roman"/>
          <w:sz w:val="18"/>
          <w:szCs w:val="18"/>
        </w:rPr>
        <w:t>*</w:t>
      </w:r>
      <w:r w:rsidRPr="008B0E61">
        <w:rPr>
          <w:rFonts w:ascii="Times New Roman" w:hAnsi="Times New Roman"/>
          <w:sz w:val="18"/>
          <w:szCs w:val="18"/>
        </w:rPr>
        <w:t xml:space="preserve"> Niepotrzebne skreślić</w:t>
      </w:r>
      <w:r>
        <w:rPr>
          <w:rFonts w:ascii="Times New Roman" w:hAnsi="Times New Roman"/>
          <w:sz w:val="18"/>
          <w:szCs w:val="18"/>
        </w:rPr>
        <w:t>.</w:t>
      </w:r>
      <w:r w:rsidRPr="008B0E61">
        <w:rPr>
          <w:rFonts w:ascii="Times New Roman" w:hAnsi="Times New Roman"/>
          <w:sz w:val="18"/>
          <w:szCs w:val="18"/>
        </w:rPr>
        <w:t xml:space="preserve"> </w:t>
      </w:r>
    </w:p>
  </w:footnote>
  <w:footnote w:id="8">
    <w:p w:rsidR="00EA1C22" w:rsidRPr="008B0E61" w:rsidRDefault="00EA1C22" w:rsidP="007E3E4D">
      <w:pPr>
        <w:pStyle w:val="Tekstprzypisudolnego"/>
        <w:ind w:left="284" w:hanging="284"/>
        <w:jc w:val="both"/>
        <w:rPr>
          <w:rFonts w:ascii="Times New Roman" w:hAnsi="Times New Roman"/>
          <w:sz w:val="18"/>
          <w:szCs w:val="18"/>
        </w:rPr>
      </w:pPr>
      <w:r w:rsidRPr="008B0E61">
        <w:rPr>
          <w:rStyle w:val="Odwoanieprzypisudolnego"/>
          <w:rFonts w:ascii="Times New Roman" w:hAnsi="Times New Roman"/>
          <w:sz w:val="18"/>
          <w:szCs w:val="18"/>
        </w:rPr>
        <w:t>6)</w:t>
      </w:r>
      <w:r w:rsidR="007E3E4D">
        <w:rPr>
          <w:rFonts w:ascii="Times New Roman" w:hAnsi="Times New Roman"/>
          <w:sz w:val="18"/>
          <w:szCs w:val="18"/>
        </w:rPr>
        <w:tab/>
      </w:r>
      <w:r>
        <w:rPr>
          <w:rFonts w:ascii="Times New Roman" w:hAnsi="Times New Roman"/>
          <w:sz w:val="18"/>
          <w:szCs w:val="18"/>
        </w:rPr>
        <w:t xml:space="preserve">Zgodnie z art. 48 ust. 6 </w:t>
      </w:r>
      <w:r w:rsidRPr="00237E34">
        <w:rPr>
          <w:rFonts w:ascii="Times New Roman" w:hAnsi="Times New Roman"/>
          <w:sz w:val="18"/>
          <w:szCs w:val="18"/>
        </w:rPr>
        <w:t>ustawy z dnia … o ochronie praw nabywcy lokalu mieszkalnego lub domu jednorodzinnego oraz o Deweloperskim Funduszu Gwarancyjnym (Dz. U. ….)</w:t>
      </w:r>
      <w:r>
        <w:rPr>
          <w:rFonts w:ascii="Times New Roman" w:hAnsi="Times New Roman"/>
          <w:sz w:val="18"/>
          <w:szCs w:val="18"/>
        </w:rPr>
        <w:t xml:space="preserve"> w</w:t>
      </w:r>
      <w:r w:rsidRPr="00F84C86">
        <w:rPr>
          <w:rFonts w:ascii="Times New Roman" w:hAnsi="Times New Roman"/>
          <w:sz w:val="18"/>
          <w:szCs w:val="18"/>
        </w:rPr>
        <w:t>ysokość składki jest wyliczana według stawki procentowej obowiązującej w dniu rozpoczęcia sprzedaży lokali mieszkalnych lub domów jednorodzinnych w ramach danego przedsięwzięcia dewelopersk</w:t>
      </w:r>
      <w:r>
        <w:rPr>
          <w:rFonts w:ascii="Times New Roman" w:hAnsi="Times New Roman"/>
          <w:sz w:val="18"/>
          <w:szCs w:val="18"/>
        </w:rPr>
        <w:t>iego lub zadania inwestycyjnego</w:t>
      </w:r>
      <w:r w:rsidRPr="00F84C86">
        <w:rPr>
          <w:rFonts w:ascii="Times New Roman" w:hAnsi="Times New Roman"/>
          <w:sz w:val="18"/>
          <w:szCs w:val="18"/>
        </w:rPr>
        <w:t>.</w:t>
      </w:r>
      <w:r>
        <w:rPr>
          <w:rFonts w:ascii="Times New Roman" w:hAnsi="Times New Roman"/>
          <w:sz w:val="18"/>
          <w:szCs w:val="18"/>
        </w:rPr>
        <w:t xml:space="preserve"> Natomiast stawkę procentową </w:t>
      </w:r>
      <w:r w:rsidRPr="00E6714E">
        <w:rPr>
          <w:rFonts w:ascii="Times New Roman" w:hAnsi="Times New Roman"/>
          <w:sz w:val="18"/>
          <w:szCs w:val="18"/>
        </w:rPr>
        <w:t>określa</w:t>
      </w:r>
      <w:r>
        <w:rPr>
          <w:rFonts w:ascii="Times New Roman" w:hAnsi="Times New Roman"/>
          <w:sz w:val="18"/>
          <w:szCs w:val="18"/>
        </w:rPr>
        <w:t xml:space="preserve"> akt wykonawczy wydany </w:t>
      </w:r>
      <w:r w:rsidRPr="00E6714E">
        <w:rPr>
          <w:rFonts w:ascii="Times New Roman" w:hAnsi="Times New Roman"/>
          <w:sz w:val="18"/>
          <w:szCs w:val="18"/>
        </w:rPr>
        <w:t>na podstawie art. 48 ust.</w:t>
      </w:r>
      <w:r>
        <w:rPr>
          <w:rFonts w:ascii="Times New Roman" w:hAnsi="Times New Roman"/>
          <w:sz w:val="18"/>
          <w:szCs w:val="18"/>
        </w:rPr>
        <w:t xml:space="preserve"> </w:t>
      </w:r>
      <w:r w:rsidRPr="00E6714E">
        <w:rPr>
          <w:rFonts w:ascii="Times New Roman" w:hAnsi="Times New Roman"/>
          <w:sz w:val="18"/>
          <w:szCs w:val="18"/>
        </w:rPr>
        <w:t>8</w:t>
      </w:r>
      <w:r w:rsidR="00920895">
        <w:rPr>
          <w:rFonts w:ascii="Times New Roman" w:hAnsi="Times New Roman"/>
          <w:sz w:val="18"/>
          <w:szCs w:val="18"/>
        </w:rPr>
        <w:t xml:space="preserve"> </w:t>
      </w:r>
      <w:r w:rsidRPr="00E6714E">
        <w:rPr>
          <w:rFonts w:ascii="Times New Roman" w:hAnsi="Times New Roman"/>
          <w:sz w:val="18"/>
          <w:szCs w:val="18"/>
        </w:rPr>
        <w:t>ustawy z dnia … o ochronie praw nabywcy lokalu mieszkalnego lub domu jednorodzinnego oraz o Deweloperskim Funduszu Gwarancyjnym.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64B05"/>
    <w:multiLevelType w:val="hybridMultilevel"/>
    <w:tmpl w:val="29FE3E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D797B32"/>
    <w:multiLevelType w:val="hybridMultilevel"/>
    <w:tmpl w:val="DDEE72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819737E"/>
    <w:multiLevelType w:val="hybridMultilevel"/>
    <w:tmpl w:val="E102BAC4"/>
    <w:lvl w:ilvl="0" w:tplc="93A8179C">
      <w:start w:val="3"/>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5AFF2555"/>
    <w:multiLevelType w:val="hybridMultilevel"/>
    <w:tmpl w:val="9BBAA0D6"/>
    <w:lvl w:ilvl="0" w:tplc="7C1A51B2">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7CFB0839"/>
    <w:multiLevelType w:val="hybridMultilevel"/>
    <w:tmpl w:val="60586770"/>
    <w:lvl w:ilvl="0" w:tplc="75BAFD5C">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C22"/>
    <w:rsid w:val="00110283"/>
    <w:rsid w:val="0012739C"/>
    <w:rsid w:val="00143535"/>
    <w:rsid w:val="001447F7"/>
    <w:rsid w:val="003F7E75"/>
    <w:rsid w:val="004460C4"/>
    <w:rsid w:val="005F17E8"/>
    <w:rsid w:val="006177CF"/>
    <w:rsid w:val="007E3E4D"/>
    <w:rsid w:val="007F577D"/>
    <w:rsid w:val="00920895"/>
    <w:rsid w:val="00921952"/>
    <w:rsid w:val="00952F99"/>
    <w:rsid w:val="00A80C58"/>
    <w:rsid w:val="00C05345"/>
    <w:rsid w:val="00C13ECE"/>
    <w:rsid w:val="00C61580"/>
    <w:rsid w:val="00DB530F"/>
    <w:rsid w:val="00EA1C22"/>
    <w:rsid w:val="00EF63EF"/>
    <w:rsid w:val="00F32286"/>
    <w:rsid w:val="00FD12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8C9FB49-C198-45FE-A3EB-74D89ECE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A1C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1C22"/>
  </w:style>
  <w:style w:type="paragraph" w:styleId="Tekstprzypisudolnego">
    <w:name w:val="footnote text"/>
    <w:basedOn w:val="Normalny"/>
    <w:link w:val="TekstprzypisudolnegoZnak"/>
    <w:uiPriority w:val="99"/>
    <w:semiHidden/>
    <w:unhideWhenUsed/>
    <w:rsid w:val="00EA1C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A1C22"/>
    <w:rPr>
      <w:sz w:val="20"/>
      <w:szCs w:val="20"/>
    </w:rPr>
  </w:style>
  <w:style w:type="character" w:styleId="Odwoanieprzypisudolnego">
    <w:name w:val="footnote reference"/>
    <w:uiPriority w:val="99"/>
    <w:semiHidden/>
    <w:rsid w:val="00EA1C22"/>
    <w:rPr>
      <w:rFonts w:cs="Times New Roman"/>
      <w:vertAlign w:val="superscript"/>
    </w:rPr>
  </w:style>
  <w:style w:type="paragraph" w:styleId="Akapitzlist">
    <w:name w:val="List Paragraph"/>
    <w:basedOn w:val="Normalny"/>
    <w:uiPriority w:val="34"/>
    <w:qFormat/>
    <w:rsid w:val="00EA1C22"/>
    <w:pPr>
      <w:widowControl w:val="0"/>
      <w:autoSpaceDE w:val="0"/>
      <w:autoSpaceDN w:val="0"/>
      <w:adjustRightInd w:val="0"/>
      <w:spacing w:after="0" w:line="360" w:lineRule="auto"/>
      <w:ind w:left="720"/>
      <w:contextualSpacing/>
    </w:pPr>
    <w:rPr>
      <w:rFonts w:ascii="Times New Roman" w:eastAsia="Times New Roman" w:hAnsi="Times New Roman" w:cs="Arial"/>
      <w:sz w:val="24"/>
      <w:szCs w:val="20"/>
      <w:lang w:eastAsia="pl-PL"/>
    </w:rPr>
  </w:style>
  <w:style w:type="table" w:customStyle="1" w:styleId="Tabela-Siatka111">
    <w:name w:val="Tabela - Siatka111"/>
    <w:basedOn w:val="Standardowy"/>
    <w:next w:val="Tabela-Siatka"/>
    <w:rsid w:val="00EA1C2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EA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EA1C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1C22"/>
  </w:style>
  <w:style w:type="paragraph" w:styleId="Tekstdymka">
    <w:name w:val="Balloon Text"/>
    <w:basedOn w:val="Normalny"/>
    <w:link w:val="TekstdymkaZnak"/>
    <w:uiPriority w:val="99"/>
    <w:semiHidden/>
    <w:unhideWhenUsed/>
    <w:rsid w:val="007E3E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3E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2563</Words>
  <Characters>15378</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Ewa</dc:creator>
  <cp:keywords/>
  <dc:description/>
  <cp:lastModifiedBy>DJS</cp:lastModifiedBy>
  <cp:revision>4</cp:revision>
  <dcterms:created xsi:type="dcterms:W3CDTF">2021-02-19T15:25:00Z</dcterms:created>
  <dcterms:modified xsi:type="dcterms:W3CDTF">2021-02-22T12:50:00Z</dcterms:modified>
</cp:coreProperties>
</file>